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5C1068">
      <w:pPr>
        <w:spacing w:after="0"/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543C1BF5" w:rsidR="00CC5A2B" w:rsidRDefault="00CC5A2B" w:rsidP="005C1068">
      <w:pPr>
        <w:spacing w:after="0"/>
        <w:jc w:val="center"/>
        <w:rPr>
          <w:b/>
        </w:rPr>
      </w:pPr>
      <w:r w:rsidRPr="00CC5A2B">
        <w:rPr>
          <w:b/>
        </w:rPr>
        <w:t>radno mjesto:</w:t>
      </w:r>
    </w:p>
    <w:p w14:paraId="21095F3F" w14:textId="77777777" w:rsidR="005C1068" w:rsidRPr="00CC5A2B" w:rsidRDefault="005C1068" w:rsidP="005C1068">
      <w:pPr>
        <w:spacing w:after="0"/>
        <w:jc w:val="center"/>
        <w:rPr>
          <w:b/>
        </w:rPr>
      </w:pPr>
    </w:p>
    <w:p w14:paraId="70CD39B9" w14:textId="3A227F96" w:rsidR="00D65A24" w:rsidRPr="00B11F6B" w:rsidRDefault="00846E89" w:rsidP="00D3767E">
      <w:pPr>
        <w:jc w:val="center"/>
        <w:rPr>
          <w:b/>
        </w:rPr>
      </w:pPr>
      <w:r>
        <w:rPr>
          <w:rStyle w:val="Naglaeno"/>
          <w:rFonts w:cstheme="minorHAnsi"/>
        </w:rPr>
        <w:t>Referent</w:t>
      </w:r>
      <w:r w:rsidR="00CE60B3" w:rsidRPr="005425D2">
        <w:rPr>
          <w:rStyle w:val="Naglaeno"/>
          <w:rFonts w:cstheme="minorHAnsi"/>
        </w:rPr>
        <w:t xml:space="preserve"> </w:t>
      </w:r>
      <w:r w:rsidR="00C543E5" w:rsidRPr="00C543E5">
        <w:rPr>
          <w:rStyle w:val="Naglaeno"/>
          <w:rFonts w:cstheme="minorHAnsi"/>
        </w:rPr>
        <w:t xml:space="preserve">za zdravstvo, socijalnu skrb, školstvo i </w:t>
      </w:r>
      <w:proofErr w:type="spellStart"/>
      <w:r w:rsidR="00C543E5" w:rsidRPr="00C543E5">
        <w:rPr>
          <w:rStyle w:val="Naglaeno"/>
          <w:rFonts w:cstheme="minorHAnsi"/>
        </w:rPr>
        <w:t>predškolstvo</w:t>
      </w:r>
      <w:proofErr w:type="spellEnd"/>
      <w:r>
        <w:rPr>
          <w:rStyle w:val="Naglaeno"/>
          <w:rFonts w:cstheme="minorHAnsi"/>
        </w:rPr>
        <w:t xml:space="preserve"> te administrativne poslove EU projekata</w:t>
      </w:r>
      <w:r w:rsidR="00C543E5" w:rsidRPr="00C543E5">
        <w:rPr>
          <w:rStyle w:val="Naglaeno"/>
          <w:rFonts w:cstheme="minorHAnsi"/>
        </w:rPr>
        <w:t xml:space="preserve"> </w:t>
      </w:r>
      <w:r w:rsidR="00CE60B3" w:rsidRPr="005425D2">
        <w:rPr>
          <w:rFonts w:cstheme="minorHAnsi"/>
          <w:b/>
        </w:rPr>
        <w:t>– 1 izvršitelj</w:t>
      </w:r>
    </w:p>
    <w:p w14:paraId="0C2C6486" w14:textId="67029104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AA7B8D" w:rsidRPr="004030F0">
        <w:t>142</w:t>
      </w:r>
      <w:r w:rsidR="00601E61">
        <w:t>/2</w:t>
      </w:r>
      <w:r w:rsidR="00CC6C10">
        <w:t>2</w:t>
      </w:r>
      <w:r w:rsidR="00601E61">
        <w:t xml:space="preserve"> od </w:t>
      </w:r>
      <w:r w:rsidR="00C46875">
        <w:t>7</w:t>
      </w:r>
      <w:r w:rsidR="00CC6C10">
        <w:t xml:space="preserve">. </w:t>
      </w:r>
      <w:r w:rsidR="00846E89">
        <w:t>prosinca</w:t>
      </w:r>
      <w:r w:rsidR="00CC6C10">
        <w:t xml:space="preserve"> </w:t>
      </w:r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2A94637E" w14:textId="1D32CF78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>pribavlja i provodi kontrolu dokumentacije iz različitih evidencija potrebnu za provođenje upravnog postupka iz podru</w:t>
      </w:r>
      <w:bookmarkStart w:id="0" w:name="_GoBack"/>
      <w:bookmarkEnd w:id="0"/>
      <w:r>
        <w:t xml:space="preserve">čja socijalne skrbi, školstva i </w:t>
      </w:r>
      <w:proofErr w:type="spellStart"/>
      <w:r>
        <w:t>predškolstva</w:t>
      </w:r>
      <w:proofErr w:type="spellEnd"/>
    </w:p>
    <w:p w14:paraId="19B9A01C" w14:textId="6639A370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 xml:space="preserve">obavlja poslove pripreme provođenja postupka dodjele stipendija </w:t>
      </w:r>
    </w:p>
    <w:p w14:paraId="0FB28827" w14:textId="5BAF8392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 xml:space="preserve">pribavlja i provodi kontrolu dokumentacije za projektne aktivnosti koje imaju za cilj ostvarenje rezultata i ciljeva EU projekta, sudjeluje u provedbi aktivnosti redovnog izvještavanja financijskog upravljanja EU projektom, </w:t>
      </w:r>
    </w:p>
    <w:p w14:paraId="4CBC8B3C" w14:textId="49C02708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>sudjeluju u administrativnim i logističkim poslovima povezivanja dionika EU projekta</w:t>
      </w:r>
    </w:p>
    <w:p w14:paraId="4EC95188" w14:textId="6286FACF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>daje odgovore po predmetima u okviru svoje nadležnosti, prima stranke i rješava po zahtjevima istih u okviru svoje nadležnosti</w:t>
      </w:r>
    </w:p>
    <w:p w14:paraId="1C49B403" w14:textId="77777777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>provodi i obavlja administrativne i tehničke poslove za potrebe načelnika</w:t>
      </w:r>
    </w:p>
    <w:p w14:paraId="05684106" w14:textId="0B93401A" w:rsidR="00846E89" w:rsidRDefault="00846E89" w:rsidP="00846E89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službu.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0755C72B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B83255" w:rsidRPr="005C1068">
        <w:rPr>
          <w:b/>
        </w:rPr>
        <w:t>10.378,92 k</w:t>
      </w:r>
      <w:r w:rsidR="007B0935" w:rsidRPr="005C1068">
        <w:rPr>
          <w:b/>
        </w:rPr>
        <w:t>n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6C926BC6" w14:textId="2991DCA9" w:rsidR="00CC5A2B" w:rsidRPr="00010C55" w:rsidRDefault="00CC5A2B" w:rsidP="00EC0C22">
      <w:pPr>
        <w:jc w:val="both"/>
        <w:rPr>
          <w:b/>
        </w:rPr>
      </w:pPr>
      <w:r w:rsidRPr="00010C55">
        <w:t xml:space="preserve">Područje pisanog testiranja obuhvaća područje </w:t>
      </w:r>
      <w:r w:rsidR="00964E27" w:rsidRPr="00010C55">
        <w:t>lokalne i područne (regionalne) samouprave,</w:t>
      </w:r>
      <w:r w:rsidR="00F75FF8" w:rsidRPr="00010C55">
        <w:t xml:space="preserve"> </w:t>
      </w:r>
      <w:r w:rsidR="00964E27" w:rsidRPr="00010C55">
        <w:t>područje</w:t>
      </w:r>
      <w:r w:rsidR="00F75FF8" w:rsidRPr="00010C55">
        <w:t xml:space="preserve"> zdravstva i socijalne skrbi te područje školstva i </w:t>
      </w:r>
      <w:proofErr w:type="spellStart"/>
      <w:r w:rsidR="00F75FF8" w:rsidRPr="00010C55">
        <w:t>predškolst</w:t>
      </w:r>
      <w:r w:rsidR="00846E89">
        <w:t>va</w:t>
      </w:r>
      <w:proofErr w:type="spellEnd"/>
      <w:r w:rsidR="00846E89">
        <w:t xml:space="preserve">, područje </w:t>
      </w:r>
      <w:r w:rsidR="002E479F" w:rsidRPr="002E479F">
        <w:t>EU projekta</w:t>
      </w:r>
      <w:r w:rsidR="002E479F">
        <w:t>.</w:t>
      </w:r>
    </w:p>
    <w:p w14:paraId="483D84B0" w14:textId="77777777" w:rsidR="00CC5A2B" w:rsidRPr="000311EA" w:rsidRDefault="00CC5A2B" w:rsidP="006810DC">
      <w:pPr>
        <w:spacing w:after="0"/>
        <w:jc w:val="both"/>
        <w:rPr>
          <w:b/>
        </w:rPr>
      </w:pPr>
      <w:r w:rsidRPr="00CA58C2">
        <w:rPr>
          <w:b/>
        </w:rPr>
        <w:t>Pravni i drugi izvori provjere znanja:</w:t>
      </w:r>
    </w:p>
    <w:p w14:paraId="790AFC37" w14:textId="09956902" w:rsidR="006810DC" w:rsidRP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>Zakon o lokalnoj i područnoj (regionalnoj) samoupravi (Narodne novine br. 33/01, 60/01, 129/05, 109/07, 125/08, 36/09, 36/09, 150/11, 144/12, 19/13, 137/15, 123/17, 98/19, 144/20)</w:t>
      </w:r>
    </w:p>
    <w:p w14:paraId="29B5A28E" w14:textId="7126D01E" w:rsid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općem upravnom postupku (Narodne novine br. 47/09, 110/21)</w:t>
      </w:r>
    </w:p>
    <w:p w14:paraId="38C43F05" w14:textId="3AB43772" w:rsid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 xml:space="preserve">Zakon o socijalnoj skrbi ( Narodne novine br. </w:t>
      </w:r>
      <w:r>
        <w:rPr>
          <w:rFonts w:cs="Times New Roman"/>
        </w:rPr>
        <w:t>18</w:t>
      </w:r>
      <w:r w:rsidRPr="006810DC">
        <w:rPr>
          <w:rFonts w:cs="Times New Roman"/>
        </w:rPr>
        <w:t>/</w:t>
      </w:r>
      <w:r>
        <w:rPr>
          <w:rFonts w:cs="Times New Roman"/>
        </w:rPr>
        <w:t>22</w:t>
      </w:r>
      <w:r w:rsidRPr="006810DC">
        <w:rPr>
          <w:rFonts w:cs="Times New Roman"/>
        </w:rPr>
        <w:t>)</w:t>
      </w:r>
    </w:p>
    <w:p w14:paraId="1EC0D6DE" w14:textId="3C37A20B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zdravstvenoj zaštiti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100/18, 125/19, 147/20</w:t>
      </w:r>
      <w:r w:rsidR="003C74E6">
        <w:rPr>
          <w:rFonts w:cs="Times New Roman"/>
          <w:color w:val="000000" w:themeColor="text1"/>
        </w:rPr>
        <w:t>, 119/22</w:t>
      </w:r>
      <w:r w:rsidRPr="00C12A41">
        <w:rPr>
          <w:rFonts w:cs="Times New Roman"/>
          <w:color w:val="000000" w:themeColor="text1"/>
        </w:rPr>
        <w:t>)</w:t>
      </w:r>
    </w:p>
    <w:p w14:paraId="2EBFD3C7" w14:textId="3E6FED5F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lastRenderedPageBreak/>
        <w:t>Zakon o predškolskom odgoju i obrazovanju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</w:t>
      </w:r>
      <w:r w:rsidR="00E5462B" w:rsidRPr="00C12A41">
        <w:rPr>
          <w:rFonts w:cs="Times New Roman"/>
          <w:color w:val="000000" w:themeColor="text1"/>
        </w:rPr>
        <w:t>10/97, 107/07, 94/13, 98/19</w:t>
      </w:r>
      <w:r w:rsidR="003C74E6">
        <w:rPr>
          <w:rFonts w:cs="Times New Roman"/>
          <w:color w:val="000000" w:themeColor="text1"/>
        </w:rPr>
        <w:t>, 57/22</w:t>
      </w:r>
      <w:r w:rsidRPr="00C12A41">
        <w:rPr>
          <w:rFonts w:cs="Times New Roman"/>
          <w:color w:val="000000" w:themeColor="text1"/>
        </w:rPr>
        <w:t>),</w:t>
      </w:r>
    </w:p>
    <w:p w14:paraId="3829E9AB" w14:textId="77777777" w:rsidR="006810DC" w:rsidRP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službenicima i namještenicima u lokalnoj i područnoj (regionalnoj) samoupravi (Narodne novine br. 86/08, 61/11, 4/18, 112/19)</w:t>
      </w:r>
    </w:p>
    <w:p w14:paraId="7F849F4B" w14:textId="4F49E9CF" w:rsidR="006810DC" w:rsidRPr="00E5462B" w:rsidRDefault="006810DC" w:rsidP="00E5462B">
      <w:pPr>
        <w:pStyle w:val="Odlomakpopisa"/>
        <w:numPr>
          <w:ilvl w:val="0"/>
          <w:numId w:val="6"/>
        </w:numPr>
      </w:pPr>
      <w:r w:rsidRPr="006810DC">
        <w:t>Uredba o uredskom poslovanju (Narodne novine br. 75/21)</w:t>
      </w:r>
    </w:p>
    <w:p w14:paraId="0BB15944" w14:textId="6D5E30DC" w:rsidR="006810DC" w:rsidRPr="00C12A41" w:rsidRDefault="006810DC" w:rsidP="00C12A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 xml:space="preserve">Odluka o posebnim oblicima pomoći („Službene novine Općine Viškovo“ broj: </w:t>
      </w:r>
      <w:r w:rsidR="00C12A41">
        <w:rPr>
          <w:rFonts w:cs="Times New Roman"/>
        </w:rPr>
        <w:t>4/22</w:t>
      </w:r>
      <w:r w:rsidR="00F77BD7">
        <w:rPr>
          <w:rFonts w:cs="Times New Roman"/>
        </w:rPr>
        <w:t>, 18/22</w:t>
      </w:r>
      <w:r w:rsidRPr="006810DC">
        <w:rPr>
          <w:rFonts w:cs="Times New Roman"/>
        </w:rPr>
        <w:t>)</w:t>
      </w:r>
    </w:p>
    <w:p w14:paraId="15CA34AE" w14:textId="0671F271" w:rsidR="00C12A41" w:rsidRPr="000D6070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 w:rsidRPr="000D6070">
        <w:rPr>
          <w:rFonts w:eastAsia="Times New Roman"/>
        </w:rPr>
        <w:t xml:space="preserve">Odluka o pravu na jednokratnu godišnju novčanu pomoć starijim osobama („Službene novine Općine Viškovo“ broj </w:t>
      </w:r>
      <w:r w:rsidRPr="000D6070">
        <w:rPr>
          <w:rStyle w:val="fontstyle01"/>
          <w:rFonts w:eastAsia="Times New Roman"/>
          <w:color w:val="auto"/>
        </w:rPr>
        <w:t>10/20. i 13/20.)</w:t>
      </w:r>
    </w:p>
    <w:p w14:paraId="6C4EB682" w14:textId="149A3DEA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socijalnoj skrbi (“Službene novine Primorsko – goranske županije“ broj 52/11. i „Službene novine Općine Viškovo broj 12/16., 5/17., 16/17., 2/19., 17/19., 4/20., 19/21.</w:t>
      </w:r>
      <w:r w:rsidR="00F77BD7">
        <w:rPr>
          <w:rFonts w:eastAsia="Times New Roman"/>
        </w:rPr>
        <w:t>, 7/22, 18/22</w:t>
      </w:r>
      <w:r>
        <w:rPr>
          <w:rFonts w:eastAsia="Times New Roman"/>
        </w:rPr>
        <w:t>)</w:t>
      </w:r>
    </w:p>
    <w:p w14:paraId="374B8ED0" w14:textId="2E43D5AE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nabave radnih bilježnica za učenike osnovnih škola („Službene novine Općine Viškovo“ broj 8/20.)</w:t>
      </w:r>
    </w:p>
    <w:p w14:paraId="2337DBAD" w14:textId="5C5583AE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redovitog programa predškolskog odgoja i obrazovanja u Općini Viškovo  („Službene novine Općine Viškovo“ broj: 12/18., 17/19., 7/20.)</w:t>
      </w:r>
    </w:p>
    <w:p w14:paraId="7D822847" w14:textId="3B33E374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uvjetima i načinu sufinanciranja djelatnosti dadilja  („Službene novine Općine Viškovo“ broj: 14/19., 7/20.)</w:t>
      </w:r>
    </w:p>
    <w:p w14:paraId="05501B71" w14:textId="5BCB08BF" w:rsid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posebnog programa predškolskog odgoja i obrazovanja u zdravstvenim ustanovama koje provode posebni program predškolskog odgoja i obrazovanja za djecu s teškoćama u razvoju („Službene novine Općine Viškovo“ broj: 12/18., 17/19., 7/20.)</w:t>
      </w:r>
    </w:p>
    <w:p w14:paraId="5ADA83AB" w14:textId="29CB2BA2" w:rsidR="001D61B9" w:rsidRPr="001D61B9" w:rsidRDefault="002E479F" w:rsidP="001D61B9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2E479F">
        <w:rPr>
          <w:rFonts w:eastAsia="Times New Roman"/>
        </w:rPr>
        <w:t xml:space="preserve">Opći uvjeti koji se primjenjuju na projekte financirane iz europskih strukturnih i investicijskih fondova u financijskom </w:t>
      </w:r>
      <w:r w:rsidR="000D6070">
        <w:rPr>
          <w:rFonts w:eastAsia="Times New Roman"/>
        </w:rPr>
        <w:t>razdoblju</w:t>
      </w:r>
      <w:r w:rsidR="001D61B9">
        <w:rPr>
          <w:rFonts w:eastAsia="Times New Roman"/>
        </w:rPr>
        <w:t xml:space="preserve"> </w:t>
      </w:r>
      <w:hyperlink r:id="rId5" w:history="1">
        <w:r w:rsidR="001D61B9" w:rsidRPr="00D54508">
          <w:rPr>
            <w:rStyle w:val="Hiperveza"/>
            <w:rFonts w:eastAsia="Times New Roman"/>
          </w:rPr>
          <w:t>https://strukturnifondovi.hr/eu-fondovi/eu-fondovi-2021-2027/</w:t>
        </w:r>
      </w:hyperlink>
    </w:p>
    <w:p w14:paraId="6A286AD4" w14:textId="601FE93E" w:rsidR="002E479F" w:rsidRPr="000D6070" w:rsidRDefault="002E479F" w:rsidP="002E479F">
      <w:pPr>
        <w:numPr>
          <w:ilvl w:val="0"/>
          <w:numId w:val="7"/>
        </w:numPr>
        <w:spacing w:after="0" w:line="240" w:lineRule="auto"/>
        <w:jc w:val="both"/>
        <w:rPr>
          <w:rStyle w:val="Hiperveza"/>
          <w:rFonts w:eastAsia="Times New Roman"/>
          <w:color w:val="auto"/>
          <w:u w:val="none"/>
        </w:rPr>
      </w:pPr>
      <w:r w:rsidRPr="002E479F">
        <w:rPr>
          <w:rFonts w:eastAsia="Times New Roman"/>
        </w:rPr>
        <w:t xml:space="preserve">Upute za korisnike sredstava vezano uz informiranje, komunikaciju i vidljivost projekata financiranih u okviru Europskog fonda za regionalni razvoj (EFRR), Europskog socijalnog fonda (ESF) i Kohezijskog fonda (KF) za razdoblje 2014.-2020. </w:t>
      </w:r>
      <w:hyperlink r:id="rId6" w:history="1">
        <w:r w:rsidRPr="00BD1771">
          <w:rPr>
            <w:rStyle w:val="Hiperveza"/>
            <w:rFonts w:eastAsia="Times New Roman"/>
          </w:rPr>
          <w:t>https://strukturnifondovi.hr/wp-content/uploads/2017/03/Upute-za-korisnike-zadnja-verzija.pdf</w:t>
        </w:r>
      </w:hyperlink>
    </w:p>
    <w:p w14:paraId="39918DD3" w14:textId="5E9F505C" w:rsidR="001D61B9" w:rsidRPr="001D61B9" w:rsidRDefault="002E479F" w:rsidP="001D61B9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 w:rsidRPr="000D6070">
        <w:rPr>
          <w:rFonts w:eastAsia="Times New Roman"/>
        </w:rPr>
        <w:t>Operativni program Učinkoviti ljudski potencijali</w:t>
      </w:r>
      <w:r w:rsidR="001D61B9">
        <w:rPr>
          <w:rFonts w:eastAsia="Times New Roman"/>
        </w:rPr>
        <w:t xml:space="preserve"> </w:t>
      </w:r>
      <w:hyperlink r:id="rId7" w:history="1">
        <w:r w:rsidR="001D61B9" w:rsidRPr="00D54508">
          <w:rPr>
            <w:rStyle w:val="Hiperveza"/>
            <w:rFonts w:eastAsia="Times New Roman"/>
          </w:rPr>
          <w:t>https://strukturnifondovi.hr/wp-content/uploads/2022/11/Program-Ucinkoviti-ljudski-potencijali-2021.-2027_.pdf</w:t>
        </w:r>
      </w:hyperlink>
    </w:p>
    <w:p w14:paraId="171B80EC" w14:textId="08A5A099" w:rsidR="002E479F" w:rsidRDefault="002E479F" w:rsidP="002E479F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 w:rsidRPr="002E479F">
        <w:rPr>
          <w:rFonts w:eastAsia="Times New Roman"/>
        </w:rPr>
        <w:t xml:space="preserve">Europski strukturni i investicijski fondovi </w:t>
      </w:r>
      <w:hyperlink r:id="rId8" w:history="1">
        <w:r w:rsidRPr="00BD1771">
          <w:rPr>
            <w:rStyle w:val="Hiperveza"/>
            <w:rFonts w:eastAsia="Times New Roman"/>
          </w:rPr>
          <w:t>https://strukturnifondovi.hr/</w:t>
        </w:r>
      </w:hyperlink>
    </w:p>
    <w:p w14:paraId="73B9109C" w14:textId="77777777" w:rsidR="002E479F" w:rsidRPr="002E479F" w:rsidRDefault="002E479F" w:rsidP="002E479F">
      <w:pPr>
        <w:spacing w:after="0" w:line="240" w:lineRule="auto"/>
        <w:ind w:left="720"/>
        <w:jc w:val="both"/>
        <w:rPr>
          <w:rFonts w:eastAsia="Times New Roman"/>
        </w:rPr>
      </w:pPr>
    </w:p>
    <w:p w14:paraId="6D396409" w14:textId="77777777" w:rsidR="00C12A41" w:rsidRDefault="00C12A41" w:rsidP="00C12A41">
      <w:pPr>
        <w:rPr>
          <w:color w:val="1F497D"/>
        </w:rPr>
      </w:pPr>
    </w:p>
    <w:p w14:paraId="4DBFB0FE" w14:textId="77777777" w:rsidR="00C12A41" w:rsidRDefault="00C12A41" w:rsidP="00C12A41">
      <w:pPr>
        <w:rPr>
          <w:color w:val="1F497D"/>
        </w:rPr>
      </w:pPr>
    </w:p>
    <w:p w14:paraId="5F2D08FB" w14:textId="77777777" w:rsidR="006810DC" w:rsidRDefault="006810DC" w:rsidP="00E5462B">
      <w:pPr>
        <w:pStyle w:val="Odlomakpopisa"/>
        <w:spacing w:after="0" w:line="240" w:lineRule="auto"/>
        <w:jc w:val="both"/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0C55"/>
    <w:rsid w:val="00015EB5"/>
    <w:rsid w:val="000311EA"/>
    <w:rsid w:val="000C160A"/>
    <w:rsid w:val="000D6070"/>
    <w:rsid w:val="00156DE2"/>
    <w:rsid w:val="001968A8"/>
    <w:rsid w:val="001D61B9"/>
    <w:rsid w:val="00224C50"/>
    <w:rsid w:val="002D638F"/>
    <w:rsid w:val="002E479F"/>
    <w:rsid w:val="00380C4E"/>
    <w:rsid w:val="003C74E6"/>
    <w:rsid w:val="003E11B0"/>
    <w:rsid w:val="004030F0"/>
    <w:rsid w:val="004508AE"/>
    <w:rsid w:val="004C1DCD"/>
    <w:rsid w:val="005161FF"/>
    <w:rsid w:val="005271D7"/>
    <w:rsid w:val="00534692"/>
    <w:rsid w:val="005A16DD"/>
    <w:rsid w:val="005C1068"/>
    <w:rsid w:val="00601E61"/>
    <w:rsid w:val="006326E5"/>
    <w:rsid w:val="00653DF1"/>
    <w:rsid w:val="00662F1E"/>
    <w:rsid w:val="0067040D"/>
    <w:rsid w:val="006810DC"/>
    <w:rsid w:val="00741FF1"/>
    <w:rsid w:val="007B0935"/>
    <w:rsid w:val="00846E89"/>
    <w:rsid w:val="008C342B"/>
    <w:rsid w:val="00937A59"/>
    <w:rsid w:val="00961936"/>
    <w:rsid w:val="00964E27"/>
    <w:rsid w:val="009736B1"/>
    <w:rsid w:val="009E1893"/>
    <w:rsid w:val="009E1FCC"/>
    <w:rsid w:val="009E5C22"/>
    <w:rsid w:val="00AA4111"/>
    <w:rsid w:val="00AA7B8D"/>
    <w:rsid w:val="00AD510B"/>
    <w:rsid w:val="00B11F6B"/>
    <w:rsid w:val="00B83255"/>
    <w:rsid w:val="00B92CA9"/>
    <w:rsid w:val="00B9545C"/>
    <w:rsid w:val="00C12A41"/>
    <w:rsid w:val="00C46875"/>
    <w:rsid w:val="00C543E5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5462B"/>
    <w:rsid w:val="00EC0C22"/>
    <w:rsid w:val="00F223FE"/>
    <w:rsid w:val="00F75FF8"/>
    <w:rsid w:val="00F77BD7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character" w:customStyle="1" w:styleId="fontstyle01">
    <w:name w:val="fontstyle01"/>
    <w:basedOn w:val="Zadanifontodlomka"/>
    <w:rsid w:val="00C12A41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E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ukturnifondovi.hr/wp-content/uploads/2022/11/Program-Ucinkoviti-ljudski-potencijali-2021.-2027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ukturnifondovi.hr/wp-content/uploads/2017/03/Upute-za-korisnike-zadnja-verzija.pdf" TargetMode="External"/><Relationship Id="rId5" Type="http://schemas.openxmlformats.org/officeDocument/2006/relationships/hyperlink" Target="https://strukturnifondovi.hr/eu-fondovi/eu-fondovi-2021-202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11</cp:revision>
  <cp:lastPrinted>2022-12-06T13:44:00Z</cp:lastPrinted>
  <dcterms:created xsi:type="dcterms:W3CDTF">2022-11-28T15:42:00Z</dcterms:created>
  <dcterms:modified xsi:type="dcterms:W3CDTF">2022-12-07T19:57:00Z</dcterms:modified>
</cp:coreProperties>
</file>