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4A" w:rsidRDefault="00345C4A" w:rsidP="00AA6166">
      <w:pPr>
        <w:rPr>
          <w:rFonts w:ascii="Calibri" w:hAnsi="Calibri"/>
          <w:b/>
          <w:i/>
          <w:color w:val="000000"/>
          <w:sz w:val="24"/>
          <w:szCs w:val="24"/>
        </w:rPr>
      </w:pPr>
    </w:p>
    <w:p w:rsidR="00345C4A" w:rsidRPr="005E52A3" w:rsidRDefault="00345C4A" w:rsidP="00345C4A">
      <w:pPr>
        <w:pStyle w:val="Tijeloteksta"/>
        <w:ind w:left="360"/>
        <w:rPr>
          <w:rFonts w:asciiTheme="minorHAnsi" w:hAnsiTheme="minorHAnsi"/>
          <w:i/>
          <w:iCs/>
          <w:sz w:val="24"/>
          <w:u w:val="single"/>
        </w:rPr>
      </w:pPr>
      <w:r w:rsidRPr="005E52A3">
        <w:rPr>
          <w:rFonts w:asciiTheme="minorHAnsi" w:hAnsiTheme="minorHAnsi"/>
          <w:i/>
          <w:iCs/>
          <w:sz w:val="24"/>
          <w:u w:val="single"/>
        </w:rPr>
        <w:t>Obvezne Bilješke uz Bilancu</w:t>
      </w:r>
    </w:p>
    <w:p w:rsidR="00345C4A" w:rsidRPr="005E52A3" w:rsidRDefault="00345C4A" w:rsidP="00345C4A">
      <w:pPr>
        <w:pStyle w:val="Tijeloteksta"/>
        <w:ind w:left="360"/>
        <w:rPr>
          <w:rFonts w:asciiTheme="minorHAnsi" w:hAnsiTheme="minorHAnsi"/>
          <w:i/>
          <w:iCs/>
          <w:sz w:val="24"/>
          <w:u w:val="single"/>
        </w:rPr>
      </w:pPr>
      <w:r>
        <w:rPr>
          <w:rFonts w:asciiTheme="minorHAnsi" w:hAnsiTheme="minorHAnsi"/>
          <w:i/>
          <w:iCs/>
          <w:sz w:val="24"/>
          <w:u w:val="single"/>
        </w:rPr>
        <w:t xml:space="preserve">sa </w:t>
      </w:r>
      <w:r w:rsidRPr="005E52A3">
        <w:rPr>
          <w:rFonts w:asciiTheme="minorHAnsi" w:hAnsiTheme="minorHAnsi"/>
          <w:i/>
          <w:iCs/>
          <w:sz w:val="24"/>
          <w:u w:val="single"/>
        </w:rPr>
        <w:t>stanje</w:t>
      </w:r>
      <w:r w:rsidR="00D05631">
        <w:rPr>
          <w:rFonts w:asciiTheme="minorHAnsi" w:hAnsiTheme="minorHAnsi"/>
          <w:i/>
          <w:iCs/>
          <w:sz w:val="24"/>
          <w:u w:val="single"/>
        </w:rPr>
        <w:t>m na dan 31.12.20</w:t>
      </w:r>
      <w:r>
        <w:rPr>
          <w:rFonts w:asciiTheme="minorHAnsi" w:hAnsiTheme="minorHAnsi"/>
          <w:i/>
          <w:iCs/>
          <w:sz w:val="24"/>
          <w:u w:val="single"/>
        </w:rPr>
        <w:t>2</w:t>
      </w:r>
      <w:r w:rsidR="00D05631">
        <w:rPr>
          <w:rFonts w:asciiTheme="minorHAnsi" w:hAnsiTheme="minorHAnsi"/>
          <w:i/>
          <w:iCs/>
          <w:sz w:val="24"/>
          <w:u w:val="single"/>
        </w:rPr>
        <w:t>3</w:t>
      </w:r>
      <w:r w:rsidRPr="005E52A3">
        <w:rPr>
          <w:rFonts w:asciiTheme="minorHAnsi" w:hAnsiTheme="minorHAnsi"/>
          <w:i/>
          <w:iCs/>
          <w:sz w:val="24"/>
          <w:u w:val="single"/>
        </w:rPr>
        <w:t>.</w:t>
      </w:r>
      <w:r>
        <w:rPr>
          <w:rFonts w:asciiTheme="minorHAnsi" w:hAnsiTheme="minorHAnsi"/>
          <w:i/>
          <w:iCs/>
          <w:sz w:val="24"/>
          <w:u w:val="single"/>
        </w:rPr>
        <w:t xml:space="preserve"> godine</w:t>
      </w:r>
    </w:p>
    <w:p w:rsidR="00345C4A" w:rsidRPr="005E52A3" w:rsidRDefault="00345C4A" w:rsidP="00345C4A">
      <w:pPr>
        <w:pStyle w:val="Tijeloteksta"/>
        <w:ind w:left="360"/>
        <w:rPr>
          <w:rFonts w:asciiTheme="minorHAnsi" w:hAnsiTheme="minorHAnsi"/>
          <w:i/>
          <w:iCs/>
          <w:color w:val="17365D"/>
          <w:sz w:val="24"/>
          <w:u w:val="single"/>
        </w:rPr>
      </w:pPr>
    </w:p>
    <w:p w:rsidR="00345C4A" w:rsidRDefault="00345C4A" w:rsidP="00345C4A">
      <w:pPr>
        <w:pStyle w:val="Tijeloteksta"/>
        <w:ind w:left="360"/>
        <w:rPr>
          <w:rFonts w:asciiTheme="minorHAnsi" w:hAnsiTheme="minorHAnsi"/>
          <w:i/>
          <w:iCs/>
          <w:color w:val="17365D"/>
          <w:sz w:val="24"/>
          <w:u w:val="single"/>
        </w:rPr>
      </w:pPr>
    </w:p>
    <w:p w:rsidR="00345C4A" w:rsidRPr="005E52A3" w:rsidRDefault="00345C4A" w:rsidP="00345C4A">
      <w:pPr>
        <w:pStyle w:val="Tijeloteksta"/>
        <w:ind w:left="360"/>
        <w:rPr>
          <w:rFonts w:asciiTheme="minorHAnsi" w:hAnsiTheme="minorHAnsi"/>
          <w:i/>
          <w:iCs/>
          <w:color w:val="17365D"/>
          <w:sz w:val="24"/>
          <w:u w:val="single"/>
        </w:rPr>
      </w:pPr>
    </w:p>
    <w:p w:rsidR="00345C4A" w:rsidRPr="005E52A3" w:rsidRDefault="00345C4A" w:rsidP="00345C4A">
      <w:pPr>
        <w:pStyle w:val="Tijeloteksta"/>
        <w:jc w:val="left"/>
        <w:rPr>
          <w:rFonts w:asciiTheme="minorHAnsi" w:hAnsiTheme="minorHAnsi"/>
          <w:b w:val="0"/>
          <w:iCs/>
          <w:sz w:val="24"/>
        </w:rPr>
      </w:pPr>
      <w:r w:rsidRPr="005E52A3">
        <w:rPr>
          <w:rFonts w:asciiTheme="minorHAnsi" w:hAnsiTheme="minorHAnsi"/>
          <w:b w:val="0"/>
          <w:iCs/>
          <w:sz w:val="24"/>
        </w:rPr>
        <w:t>Naziv proračuna</w:t>
      </w:r>
      <w:r>
        <w:rPr>
          <w:rFonts w:asciiTheme="minorHAnsi" w:hAnsiTheme="minorHAnsi"/>
          <w:b w:val="0"/>
          <w:iCs/>
          <w:sz w:val="24"/>
        </w:rPr>
        <w:t>:</w:t>
      </w:r>
      <w:r w:rsidRPr="005E52A3">
        <w:rPr>
          <w:rFonts w:asciiTheme="minorHAnsi" w:hAnsiTheme="minorHAnsi"/>
          <w:b w:val="0"/>
          <w:iCs/>
          <w:sz w:val="24"/>
        </w:rPr>
        <w:t xml:space="preserve"> </w:t>
      </w:r>
      <w:r w:rsidRPr="005E52A3">
        <w:rPr>
          <w:rFonts w:asciiTheme="minorHAnsi" w:hAnsiTheme="minorHAnsi"/>
          <w:iCs/>
          <w:sz w:val="24"/>
        </w:rPr>
        <w:t>Općina Viškovo</w:t>
      </w:r>
    </w:p>
    <w:p w:rsidR="00345C4A" w:rsidRPr="005E52A3" w:rsidRDefault="00345C4A" w:rsidP="00345C4A">
      <w:pPr>
        <w:pStyle w:val="Tijeloteksta"/>
        <w:jc w:val="left"/>
        <w:rPr>
          <w:rFonts w:asciiTheme="minorHAnsi" w:hAnsiTheme="minorHAnsi"/>
          <w:b w:val="0"/>
          <w:iCs/>
          <w:sz w:val="24"/>
        </w:rPr>
      </w:pPr>
      <w:r w:rsidRPr="005E52A3">
        <w:rPr>
          <w:rFonts w:asciiTheme="minorHAnsi" w:hAnsiTheme="minorHAnsi"/>
          <w:b w:val="0"/>
          <w:iCs/>
          <w:sz w:val="24"/>
        </w:rPr>
        <w:t xml:space="preserve">OIB: </w:t>
      </w:r>
      <w:r w:rsidRPr="005E52A3">
        <w:rPr>
          <w:rFonts w:asciiTheme="minorHAnsi" w:hAnsiTheme="minorHAnsi"/>
          <w:iCs/>
          <w:sz w:val="24"/>
        </w:rPr>
        <w:t>28350474809</w:t>
      </w:r>
    </w:p>
    <w:p w:rsidR="00345C4A" w:rsidRPr="005E52A3" w:rsidRDefault="00345C4A" w:rsidP="00345C4A">
      <w:pPr>
        <w:pStyle w:val="Tijeloteksta"/>
        <w:jc w:val="left"/>
        <w:rPr>
          <w:rFonts w:asciiTheme="minorHAnsi" w:hAnsiTheme="minorHAnsi"/>
          <w:b w:val="0"/>
          <w:iCs/>
          <w:sz w:val="24"/>
        </w:rPr>
      </w:pPr>
      <w:r w:rsidRPr="005E52A3">
        <w:rPr>
          <w:rFonts w:asciiTheme="minorHAnsi" w:hAnsiTheme="minorHAnsi"/>
          <w:b w:val="0"/>
          <w:iCs/>
          <w:sz w:val="24"/>
        </w:rPr>
        <w:t xml:space="preserve">RKP broj: </w:t>
      </w:r>
      <w:r w:rsidRPr="005E52A3">
        <w:rPr>
          <w:rFonts w:asciiTheme="minorHAnsi" w:hAnsiTheme="minorHAnsi"/>
          <w:iCs/>
          <w:sz w:val="24"/>
        </w:rPr>
        <w:t>31171</w:t>
      </w:r>
    </w:p>
    <w:p w:rsidR="00345C4A" w:rsidRPr="005E52A3" w:rsidRDefault="00345C4A" w:rsidP="00345C4A">
      <w:pPr>
        <w:pStyle w:val="Tijeloteksta"/>
        <w:jc w:val="left"/>
        <w:rPr>
          <w:rFonts w:asciiTheme="minorHAnsi" w:hAnsiTheme="minorHAnsi"/>
          <w:iCs/>
          <w:sz w:val="24"/>
        </w:rPr>
      </w:pPr>
      <w:r w:rsidRPr="005E52A3">
        <w:rPr>
          <w:rFonts w:asciiTheme="minorHAnsi" w:hAnsiTheme="minorHAnsi"/>
          <w:b w:val="0"/>
          <w:iCs/>
          <w:sz w:val="24"/>
        </w:rPr>
        <w:t xml:space="preserve">Adresa: </w:t>
      </w:r>
      <w:r w:rsidRPr="005E52A3">
        <w:rPr>
          <w:rFonts w:asciiTheme="minorHAnsi" w:hAnsiTheme="minorHAnsi"/>
          <w:iCs/>
          <w:sz w:val="24"/>
        </w:rPr>
        <w:t>Vozišće 3, 51216 VIŠKOVO</w:t>
      </w:r>
    </w:p>
    <w:p w:rsidR="00345C4A" w:rsidRDefault="00345C4A" w:rsidP="00345C4A">
      <w:pPr>
        <w:pStyle w:val="Tijeloteksta"/>
        <w:jc w:val="left"/>
        <w:rPr>
          <w:rFonts w:asciiTheme="minorHAnsi" w:hAnsiTheme="minorHAnsi"/>
          <w:iCs/>
          <w:sz w:val="24"/>
        </w:rPr>
      </w:pPr>
    </w:p>
    <w:p w:rsidR="00345C4A" w:rsidRPr="005E52A3" w:rsidRDefault="00345C4A" w:rsidP="00345C4A">
      <w:pPr>
        <w:pStyle w:val="Tijeloteksta"/>
        <w:jc w:val="left"/>
        <w:rPr>
          <w:rFonts w:asciiTheme="minorHAnsi" w:hAnsiTheme="minorHAnsi"/>
          <w:iCs/>
          <w:sz w:val="24"/>
        </w:rPr>
      </w:pPr>
    </w:p>
    <w:p w:rsidR="00345C4A" w:rsidRPr="00A36E13" w:rsidRDefault="00345C4A" w:rsidP="00345C4A">
      <w:pPr>
        <w:rPr>
          <w:rFonts w:asciiTheme="minorHAnsi" w:hAnsiTheme="minorHAnsi"/>
          <w:color w:val="17365D"/>
          <w:sz w:val="16"/>
          <w:szCs w:val="16"/>
        </w:rPr>
      </w:pPr>
    </w:p>
    <w:p w:rsidR="00345C4A" w:rsidRPr="00E85861" w:rsidRDefault="00345C4A" w:rsidP="00345C4A">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Uvodna bilješka</w:t>
      </w:r>
    </w:p>
    <w:p w:rsidR="00345C4A" w:rsidRPr="00E85861" w:rsidRDefault="00345C4A" w:rsidP="00345C4A">
      <w:pPr>
        <w:jc w:val="both"/>
        <w:rPr>
          <w:rFonts w:asciiTheme="minorHAnsi" w:hAnsiTheme="minorHAnsi"/>
          <w:color w:val="000000" w:themeColor="text1"/>
          <w:sz w:val="22"/>
          <w:szCs w:val="22"/>
        </w:rPr>
      </w:pPr>
    </w:p>
    <w:p w:rsidR="00345C4A" w:rsidRPr="00E85861" w:rsidRDefault="00345C4A" w:rsidP="00345C4A">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Temeljem članka 14. Pravilnika o financijskom izvještavanju u proračunskom računovodstvu (NN</w:t>
      </w:r>
      <w:r>
        <w:rPr>
          <w:rFonts w:asciiTheme="minorHAnsi" w:hAnsiTheme="minorHAnsi"/>
          <w:color w:val="000000" w:themeColor="text1"/>
          <w:sz w:val="22"/>
          <w:szCs w:val="22"/>
        </w:rPr>
        <w:t xml:space="preserve"> 37/22.</w:t>
      </w:r>
      <w:r w:rsidRPr="00E85861">
        <w:rPr>
          <w:rFonts w:asciiTheme="minorHAnsi" w:hAnsiTheme="minorHAnsi"/>
          <w:color w:val="000000" w:themeColor="text1"/>
          <w:sz w:val="22"/>
          <w:szCs w:val="22"/>
        </w:rPr>
        <w:t>) dan je u nastavku pregled sudskih sporova u tijeku</w:t>
      </w:r>
      <w:r w:rsidR="005C4C53">
        <w:rPr>
          <w:rFonts w:asciiTheme="minorHAnsi" w:hAnsiTheme="minorHAnsi"/>
          <w:color w:val="000000" w:themeColor="text1"/>
          <w:sz w:val="22"/>
          <w:szCs w:val="22"/>
        </w:rPr>
        <w:t xml:space="preserve"> i ostalih obveza</w:t>
      </w:r>
      <w:r w:rsidRPr="00E85861">
        <w:rPr>
          <w:rFonts w:asciiTheme="minorHAnsi" w:hAnsiTheme="minorHAnsi"/>
          <w:color w:val="000000" w:themeColor="text1"/>
          <w:sz w:val="22"/>
          <w:szCs w:val="22"/>
        </w:rPr>
        <w:t>, dok pregled ugovornih odnosa koji uz ispunjenje određenih uvjeta mogu postati obveza ili imovina Općine Viškovo (dana kreditna pisma, hipoteke i slično), nije iskazan u ovim bilješkama, s obzirom da prema postojećim podacima,</w:t>
      </w:r>
      <w:r w:rsidR="005C4C53">
        <w:rPr>
          <w:rFonts w:asciiTheme="minorHAnsi" w:hAnsiTheme="minorHAnsi"/>
          <w:color w:val="000000" w:themeColor="text1"/>
          <w:sz w:val="22"/>
          <w:szCs w:val="22"/>
        </w:rPr>
        <w:t xml:space="preserve"> na dan 31. prosinca 2023</w:t>
      </w:r>
      <w:r w:rsidRPr="00E85861">
        <w:rPr>
          <w:rFonts w:asciiTheme="minorHAnsi" w:hAnsiTheme="minorHAnsi"/>
          <w:color w:val="000000" w:themeColor="text1"/>
          <w:sz w:val="22"/>
          <w:szCs w:val="22"/>
        </w:rPr>
        <w:t xml:space="preserve">. godine nije utvrđeno postojanje takvih ugovornih odnosa. Također, ovim bilješkama obuhvaćeno je i obrazloženje po stavkama imovine, obveza i vlastitih izvora koje su iskazane u bilanci sa </w:t>
      </w:r>
      <w:r w:rsidR="005C4C53">
        <w:rPr>
          <w:rFonts w:asciiTheme="minorHAnsi" w:hAnsiTheme="minorHAnsi"/>
          <w:color w:val="000000" w:themeColor="text1"/>
          <w:sz w:val="22"/>
          <w:szCs w:val="22"/>
        </w:rPr>
        <w:t>stanjem na dan 31. prosinca 2023</w:t>
      </w:r>
      <w:r w:rsidRPr="00E85861">
        <w:rPr>
          <w:rFonts w:asciiTheme="minorHAnsi" w:hAnsiTheme="minorHAnsi"/>
          <w:color w:val="000000" w:themeColor="text1"/>
          <w:sz w:val="22"/>
          <w:szCs w:val="22"/>
        </w:rPr>
        <w:t>. godine.</w:t>
      </w:r>
    </w:p>
    <w:p w:rsidR="00345C4A" w:rsidRDefault="00345C4A" w:rsidP="00345C4A">
      <w:pPr>
        <w:jc w:val="both"/>
        <w:rPr>
          <w:rFonts w:asciiTheme="minorHAnsi" w:hAnsiTheme="minorHAnsi"/>
          <w:color w:val="000000" w:themeColor="text1"/>
          <w:sz w:val="22"/>
          <w:szCs w:val="22"/>
        </w:rPr>
      </w:pPr>
    </w:p>
    <w:p w:rsidR="00345C4A" w:rsidRPr="00E85861" w:rsidRDefault="00345C4A" w:rsidP="00345C4A">
      <w:pPr>
        <w:jc w:val="both"/>
        <w:rPr>
          <w:rFonts w:asciiTheme="minorHAnsi" w:hAnsiTheme="minorHAnsi"/>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1.</w:t>
      </w:r>
    </w:p>
    <w:p w:rsidR="00345C4A" w:rsidRPr="00E85861" w:rsidRDefault="00345C4A" w:rsidP="00345C4A">
      <w:pPr>
        <w:tabs>
          <w:tab w:val="left" w:pos="1843"/>
        </w:tabs>
        <w:jc w:val="both"/>
        <w:rPr>
          <w:rFonts w:asciiTheme="minorHAnsi" w:hAnsiTheme="minorHAnsi"/>
          <w:color w:val="000000" w:themeColor="text1"/>
          <w:sz w:val="22"/>
          <w:szCs w:val="22"/>
        </w:rPr>
      </w:pPr>
    </w:p>
    <w:p w:rsidR="00345C4A" w:rsidRDefault="00345C4A" w:rsidP="00345C4A">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Procijenjena vrijednost potencijalnih sudskih spo</w:t>
      </w:r>
      <w:r>
        <w:rPr>
          <w:rFonts w:asciiTheme="minorHAnsi" w:hAnsiTheme="minorHAnsi"/>
          <w:color w:val="000000" w:themeColor="text1"/>
          <w:sz w:val="22"/>
          <w:szCs w:val="22"/>
        </w:rPr>
        <w:t xml:space="preserve">rova u </w:t>
      </w:r>
      <w:r w:rsidR="005C4C53">
        <w:rPr>
          <w:rFonts w:asciiTheme="minorHAnsi" w:hAnsiTheme="minorHAnsi"/>
          <w:color w:val="000000" w:themeColor="text1"/>
          <w:sz w:val="22"/>
          <w:szCs w:val="22"/>
        </w:rPr>
        <w:t>tijeku na dan 31. 12. 2023</w:t>
      </w:r>
      <w:r w:rsidRPr="00E85861">
        <w:rPr>
          <w:rFonts w:asciiTheme="minorHAnsi" w:hAnsiTheme="minorHAnsi"/>
          <w:color w:val="000000" w:themeColor="text1"/>
          <w:sz w:val="22"/>
          <w:szCs w:val="22"/>
        </w:rPr>
        <w:t xml:space="preserve">. godine iznosi </w:t>
      </w:r>
      <w:r w:rsidR="005C4C53">
        <w:rPr>
          <w:rFonts w:asciiTheme="minorHAnsi" w:hAnsiTheme="minorHAnsi"/>
          <w:color w:val="000000" w:themeColor="text1"/>
          <w:sz w:val="22"/>
          <w:szCs w:val="22"/>
        </w:rPr>
        <w:t>435.097,13 €</w:t>
      </w:r>
      <w:r w:rsidRPr="00E85861">
        <w:rPr>
          <w:rFonts w:asciiTheme="minorHAnsi" w:hAnsiTheme="minorHAnsi"/>
          <w:color w:val="000000" w:themeColor="text1"/>
          <w:sz w:val="22"/>
          <w:szCs w:val="22"/>
        </w:rPr>
        <w:t xml:space="preserve"> i sastoji se od </w:t>
      </w:r>
      <w:r>
        <w:rPr>
          <w:rFonts w:asciiTheme="minorHAnsi" w:hAnsiTheme="minorHAnsi"/>
          <w:color w:val="000000" w:themeColor="text1"/>
          <w:sz w:val="22"/>
          <w:szCs w:val="22"/>
        </w:rPr>
        <w:t>3 sudska spora</w:t>
      </w:r>
      <w:r w:rsidRPr="00E85861">
        <w:rPr>
          <w:rFonts w:asciiTheme="minorHAnsi" w:hAnsiTheme="minorHAnsi"/>
          <w:color w:val="000000" w:themeColor="text1"/>
          <w:sz w:val="22"/>
          <w:szCs w:val="22"/>
        </w:rPr>
        <w:t xml:space="preserve"> </w:t>
      </w:r>
      <w:r w:rsidR="005C4C53">
        <w:rPr>
          <w:rFonts w:asciiTheme="minorHAnsi" w:hAnsiTheme="minorHAnsi"/>
          <w:color w:val="000000" w:themeColor="text1"/>
          <w:sz w:val="22"/>
          <w:szCs w:val="22"/>
        </w:rPr>
        <w:t xml:space="preserve">i obveze za obeštećenje vlasnika nekretnine u krugu od 500 m od zone Viševac </w:t>
      </w:r>
      <w:r w:rsidRPr="00E85861">
        <w:rPr>
          <w:rFonts w:asciiTheme="minorHAnsi" w:hAnsiTheme="minorHAnsi"/>
          <w:color w:val="000000" w:themeColor="text1"/>
          <w:sz w:val="22"/>
          <w:szCs w:val="22"/>
        </w:rPr>
        <w:t>za koje nije moguće procijeniti vrijeme njihovog okončanja, odnosno vrijeme priljeva ili odljeva sredstava.</w:t>
      </w:r>
      <w:r>
        <w:rPr>
          <w:rFonts w:asciiTheme="minorHAnsi" w:hAnsiTheme="minorHAnsi"/>
          <w:color w:val="000000" w:themeColor="text1"/>
          <w:sz w:val="22"/>
          <w:szCs w:val="22"/>
        </w:rPr>
        <w:t xml:space="preserve"> </w:t>
      </w:r>
    </w:p>
    <w:p w:rsidR="005C4C53" w:rsidRPr="00E85861" w:rsidRDefault="005C4C53" w:rsidP="00345C4A">
      <w:pPr>
        <w:jc w:val="both"/>
        <w:rPr>
          <w:rFonts w:asciiTheme="minorHAnsi" w:hAnsiTheme="minorHAnsi"/>
          <w:color w:val="000000" w:themeColor="text1"/>
          <w:sz w:val="22"/>
          <w:szCs w:val="22"/>
        </w:rPr>
      </w:pPr>
    </w:p>
    <w:p w:rsidR="00345C4A" w:rsidRDefault="005C4C53" w:rsidP="00345C4A">
      <w:pPr>
        <w:jc w:val="both"/>
        <w:rPr>
          <w:rFonts w:asciiTheme="minorHAnsi" w:hAnsiTheme="minorHAnsi"/>
          <w:color w:val="000000" w:themeColor="text1"/>
          <w:sz w:val="24"/>
          <w:szCs w:val="24"/>
        </w:rPr>
      </w:pPr>
      <w:r w:rsidRPr="005C4C53">
        <w:rPr>
          <w:noProof/>
        </w:rPr>
        <w:drawing>
          <wp:inline distT="0" distB="0" distL="0" distR="0" wp14:anchorId="41A45B73" wp14:editId="5955207E">
            <wp:extent cx="6332220" cy="306902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3069028"/>
                    </a:xfrm>
                    <a:prstGeom prst="rect">
                      <a:avLst/>
                    </a:prstGeom>
                    <a:noFill/>
                    <a:ln>
                      <a:noFill/>
                    </a:ln>
                  </pic:spPr>
                </pic:pic>
              </a:graphicData>
            </a:graphic>
          </wp:inline>
        </w:drawing>
      </w:r>
    </w:p>
    <w:p w:rsidR="00345C4A" w:rsidRDefault="00345C4A" w:rsidP="00345C4A">
      <w:pPr>
        <w:jc w:val="both"/>
        <w:rPr>
          <w:rFonts w:asciiTheme="minorHAnsi" w:hAnsiTheme="minorHAnsi"/>
          <w:color w:val="000000" w:themeColor="text1"/>
          <w:sz w:val="24"/>
          <w:szCs w:val="24"/>
        </w:rPr>
      </w:pPr>
    </w:p>
    <w:p w:rsidR="00345C4A" w:rsidRDefault="00345C4A"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lastRenderedPageBreak/>
        <w:t>Bilješka broj  2.</w:t>
      </w:r>
    </w:p>
    <w:p w:rsidR="00345C4A" w:rsidRPr="00E85861" w:rsidRDefault="00345C4A"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Ukupna </w:t>
      </w:r>
      <w:r w:rsidR="007F1618">
        <w:rPr>
          <w:rFonts w:asciiTheme="minorHAnsi" w:hAnsiTheme="minorHAnsi"/>
          <w:b/>
          <w:color w:val="000000" w:themeColor="text1"/>
          <w:sz w:val="22"/>
          <w:szCs w:val="22"/>
        </w:rPr>
        <w:t>kn</w:t>
      </w:r>
      <w:r w:rsidRPr="00E85861">
        <w:rPr>
          <w:rFonts w:asciiTheme="minorHAnsi" w:hAnsiTheme="minorHAnsi"/>
          <w:b/>
          <w:color w:val="000000" w:themeColor="text1"/>
          <w:sz w:val="22"/>
          <w:szCs w:val="22"/>
        </w:rPr>
        <w:t xml:space="preserve">jigovodstvena vrijednost  imovine </w:t>
      </w:r>
      <w:r>
        <w:rPr>
          <w:rFonts w:asciiTheme="minorHAnsi" w:hAnsiTheme="minorHAnsi"/>
          <w:b/>
          <w:color w:val="000000" w:themeColor="text1"/>
          <w:sz w:val="22"/>
          <w:szCs w:val="22"/>
        </w:rPr>
        <w:t>(šifra</w:t>
      </w:r>
      <w:r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B</w:t>
      </w:r>
      <w:r w:rsidRPr="00E85861">
        <w:rPr>
          <w:rFonts w:asciiTheme="minorHAnsi" w:hAnsiTheme="minorHAnsi"/>
          <w:b/>
          <w:color w:val="000000" w:themeColor="text1"/>
          <w:sz w:val="22"/>
          <w:szCs w:val="22"/>
        </w:rPr>
        <w:t>001)</w:t>
      </w:r>
      <w:r w:rsidRPr="00E85861">
        <w:rPr>
          <w:rFonts w:asciiTheme="minorHAnsi" w:hAnsiTheme="minorHAnsi"/>
          <w:color w:val="000000" w:themeColor="text1"/>
          <w:sz w:val="22"/>
          <w:szCs w:val="22"/>
        </w:rPr>
        <w:t xml:space="preserve"> Općine Viškovo sa stanjem na dan 31.</w:t>
      </w:r>
      <w:r w:rsidR="007F1618">
        <w:rPr>
          <w:rFonts w:asciiTheme="minorHAnsi" w:hAnsiTheme="minorHAnsi"/>
          <w:color w:val="000000" w:themeColor="text1"/>
          <w:sz w:val="22"/>
          <w:szCs w:val="22"/>
        </w:rPr>
        <w:t xml:space="preserve"> prosinca 2023</w:t>
      </w:r>
      <w:r w:rsidRPr="00E85861">
        <w:rPr>
          <w:rFonts w:asciiTheme="minorHAnsi" w:hAnsiTheme="minorHAnsi"/>
          <w:color w:val="000000" w:themeColor="text1"/>
          <w:sz w:val="22"/>
          <w:szCs w:val="22"/>
        </w:rPr>
        <w:t xml:space="preserve">. godine iznosi </w:t>
      </w:r>
      <w:r w:rsidR="007F1618">
        <w:rPr>
          <w:rFonts w:asciiTheme="minorHAnsi" w:hAnsiTheme="minorHAnsi"/>
          <w:b/>
          <w:color w:val="000000" w:themeColor="text1"/>
          <w:sz w:val="22"/>
          <w:szCs w:val="22"/>
        </w:rPr>
        <w:t>59.782.945,03 €</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ili </w:t>
      </w:r>
      <w:r w:rsidR="007F1618">
        <w:rPr>
          <w:rFonts w:asciiTheme="minorHAnsi" w:hAnsiTheme="minorHAnsi"/>
          <w:color w:val="000000" w:themeColor="text1"/>
          <w:sz w:val="22"/>
          <w:szCs w:val="22"/>
        </w:rPr>
        <w:t>5,6</w:t>
      </w:r>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više</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u usporedbi sa stanjem na dan </w:t>
      </w:r>
      <w:r w:rsidR="007F1618">
        <w:rPr>
          <w:rFonts w:asciiTheme="minorHAnsi" w:hAnsiTheme="minorHAnsi"/>
          <w:color w:val="000000" w:themeColor="text1"/>
          <w:sz w:val="22"/>
          <w:szCs w:val="22"/>
        </w:rPr>
        <w:t>1. siječnja 2023</w:t>
      </w:r>
      <w:r w:rsidRPr="00E85861">
        <w:rPr>
          <w:rFonts w:asciiTheme="minorHAnsi" w:hAnsiTheme="minorHAnsi"/>
          <w:color w:val="000000" w:themeColor="text1"/>
          <w:sz w:val="22"/>
          <w:szCs w:val="22"/>
        </w:rPr>
        <w:t xml:space="preserve">. godine, a obuhvaća </w:t>
      </w:r>
      <w:r w:rsidRPr="00E85861">
        <w:rPr>
          <w:rFonts w:asciiTheme="minorHAnsi" w:hAnsiTheme="minorHAnsi"/>
          <w:b/>
          <w:color w:val="000000" w:themeColor="text1"/>
          <w:sz w:val="22"/>
          <w:szCs w:val="22"/>
        </w:rPr>
        <w:t>nefinancijsku imovinu (</w:t>
      </w:r>
      <w:r>
        <w:rPr>
          <w:rFonts w:asciiTheme="minorHAnsi" w:hAnsiTheme="minorHAnsi"/>
          <w:b/>
          <w:color w:val="000000" w:themeColor="text1"/>
          <w:sz w:val="22"/>
          <w:szCs w:val="22"/>
        </w:rPr>
        <w:t>šifra</w:t>
      </w:r>
      <w:r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B002</w:t>
      </w:r>
      <w:r w:rsidRPr="00E85861">
        <w:rPr>
          <w:rFonts w:asciiTheme="minorHAnsi" w:hAnsiTheme="minorHAnsi"/>
          <w:b/>
          <w:color w:val="000000" w:themeColor="text1"/>
          <w:sz w:val="22"/>
          <w:szCs w:val="22"/>
        </w:rPr>
        <w:t xml:space="preserve">) </w:t>
      </w:r>
      <w:r w:rsidR="007F1618">
        <w:rPr>
          <w:rFonts w:asciiTheme="minorHAnsi" w:hAnsiTheme="minorHAnsi"/>
          <w:color w:val="000000" w:themeColor="text1"/>
          <w:sz w:val="22"/>
          <w:szCs w:val="22"/>
        </w:rPr>
        <w:t>kn</w:t>
      </w:r>
      <w:r w:rsidRPr="00E85861">
        <w:rPr>
          <w:rFonts w:asciiTheme="minorHAnsi" w:hAnsiTheme="minorHAnsi"/>
          <w:color w:val="000000" w:themeColor="text1"/>
          <w:sz w:val="22"/>
          <w:szCs w:val="22"/>
        </w:rPr>
        <w:t xml:space="preserve">jižne vrijednosti </w:t>
      </w:r>
      <w:r w:rsidR="007F1618">
        <w:rPr>
          <w:rFonts w:asciiTheme="minorHAnsi" w:hAnsiTheme="minorHAnsi"/>
          <w:b/>
          <w:bCs/>
          <w:color w:val="000000" w:themeColor="text1"/>
          <w:sz w:val="22"/>
          <w:szCs w:val="22"/>
        </w:rPr>
        <w:t>53.213.167,30</w:t>
      </w:r>
      <w:r w:rsidRPr="00E85861">
        <w:rPr>
          <w:rFonts w:asciiTheme="minorHAnsi" w:hAnsiTheme="minorHAnsi"/>
          <w:b/>
          <w:bCs/>
          <w:color w:val="000000" w:themeColor="text1"/>
          <w:sz w:val="22"/>
          <w:szCs w:val="22"/>
        </w:rPr>
        <w:t xml:space="preserve"> </w:t>
      </w:r>
      <w:r w:rsidR="007F1618">
        <w:rPr>
          <w:rFonts w:asciiTheme="minorHAnsi" w:hAnsiTheme="minorHAnsi"/>
          <w:b/>
          <w:bCs/>
          <w:color w:val="000000" w:themeColor="text1"/>
          <w:sz w:val="22"/>
          <w:szCs w:val="22"/>
        </w:rPr>
        <w:t>€</w:t>
      </w:r>
      <w:r w:rsidRPr="00E85861">
        <w:rPr>
          <w:rFonts w:asciiTheme="minorHAnsi" w:hAnsiTheme="minorHAnsi"/>
          <w:b/>
          <w:color w:val="000000" w:themeColor="text1"/>
          <w:sz w:val="22"/>
          <w:szCs w:val="22"/>
        </w:rPr>
        <w:t xml:space="preserve"> </w:t>
      </w:r>
      <w:r w:rsidRPr="00E85861">
        <w:rPr>
          <w:rFonts w:asciiTheme="minorHAnsi" w:hAnsiTheme="minorHAnsi"/>
          <w:bCs/>
          <w:color w:val="000000" w:themeColor="text1"/>
          <w:sz w:val="22"/>
          <w:szCs w:val="22"/>
        </w:rPr>
        <w:t xml:space="preserve">ili </w:t>
      </w:r>
      <w:r w:rsidR="007F1618">
        <w:rPr>
          <w:rFonts w:asciiTheme="minorHAnsi" w:hAnsiTheme="minorHAnsi"/>
          <w:bCs/>
          <w:color w:val="000000" w:themeColor="text1"/>
          <w:sz w:val="22"/>
          <w:szCs w:val="22"/>
        </w:rPr>
        <w:t>8,8</w:t>
      </w:r>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više</w:t>
      </w:r>
      <w:r w:rsidRPr="00E85861">
        <w:rPr>
          <w:rFonts w:asciiTheme="minorHAnsi" w:hAnsiTheme="minorHAnsi"/>
          <w:color w:val="000000" w:themeColor="text1"/>
          <w:sz w:val="22"/>
          <w:szCs w:val="22"/>
        </w:rPr>
        <w:t xml:space="preserve"> u usporedbi sa</w:t>
      </w:r>
      <w:r>
        <w:rPr>
          <w:rFonts w:asciiTheme="minorHAnsi" w:hAnsiTheme="minorHAnsi"/>
          <w:color w:val="000000" w:themeColor="text1"/>
          <w:sz w:val="22"/>
          <w:szCs w:val="22"/>
        </w:rPr>
        <w:t xml:space="preserve"> stanjem 1. siječnja 202</w:t>
      </w:r>
      <w:r w:rsidR="007F1618">
        <w:rPr>
          <w:rFonts w:asciiTheme="minorHAnsi" w:hAnsiTheme="minorHAnsi"/>
          <w:color w:val="000000" w:themeColor="text1"/>
          <w:sz w:val="22"/>
          <w:szCs w:val="22"/>
        </w:rPr>
        <w:t>3</w:t>
      </w:r>
      <w:r w:rsidRPr="00E85861">
        <w:rPr>
          <w:rFonts w:asciiTheme="minorHAnsi" w:hAnsiTheme="minorHAnsi"/>
          <w:color w:val="000000" w:themeColor="text1"/>
          <w:sz w:val="22"/>
          <w:szCs w:val="22"/>
        </w:rPr>
        <w:t xml:space="preserve">. godine i </w:t>
      </w:r>
      <w:r w:rsidRPr="00E85861">
        <w:rPr>
          <w:rFonts w:asciiTheme="minorHAnsi" w:hAnsiTheme="minorHAnsi"/>
          <w:b/>
          <w:color w:val="000000" w:themeColor="text1"/>
          <w:sz w:val="22"/>
          <w:szCs w:val="22"/>
        </w:rPr>
        <w:t>financijsku imovinu (</w:t>
      </w:r>
      <w:r>
        <w:rPr>
          <w:rFonts w:asciiTheme="minorHAnsi" w:hAnsiTheme="minorHAnsi"/>
          <w:b/>
          <w:color w:val="000000" w:themeColor="text1"/>
          <w:sz w:val="22"/>
          <w:szCs w:val="22"/>
        </w:rPr>
        <w:t>šifra</w:t>
      </w:r>
      <w:r w:rsidRPr="00E85861">
        <w:rPr>
          <w:rFonts w:asciiTheme="minorHAnsi" w:hAnsiTheme="minorHAnsi"/>
          <w:b/>
          <w:color w:val="000000" w:themeColor="text1"/>
          <w:sz w:val="22"/>
          <w:szCs w:val="22"/>
        </w:rPr>
        <w:t xml:space="preserve"> 1) </w:t>
      </w:r>
      <w:r w:rsidRPr="00E85861">
        <w:rPr>
          <w:rFonts w:asciiTheme="minorHAnsi" w:hAnsiTheme="minorHAnsi"/>
          <w:color w:val="000000" w:themeColor="text1"/>
          <w:sz w:val="22"/>
          <w:szCs w:val="22"/>
        </w:rPr>
        <w:t>u iznosu od</w:t>
      </w:r>
      <w:r w:rsidRPr="00E85861">
        <w:rPr>
          <w:rFonts w:asciiTheme="minorHAnsi" w:hAnsiTheme="minorHAnsi"/>
          <w:b/>
          <w:color w:val="000000" w:themeColor="text1"/>
          <w:sz w:val="22"/>
          <w:szCs w:val="22"/>
        </w:rPr>
        <w:t xml:space="preserve"> </w:t>
      </w:r>
      <w:r w:rsidR="007F1618">
        <w:rPr>
          <w:rFonts w:asciiTheme="minorHAnsi" w:hAnsiTheme="minorHAnsi"/>
          <w:b/>
          <w:color w:val="000000" w:themeColor="text1"/>
          <w:sz w:val="22"/>
          <w:szCs w:val="22"/>
        </w:rPr>
        <w:t>6.569.777,73</w:t>
      </w:r>
      <w:r w:rsidRPr="00E85861">
        <w:rPr>
          <w:rFonts w:asciiTheme="minorHAnsi" w:hAnsiTheme="minorHAnsi"/>
          <w:b/>
          <w:color w:val="000000" w:themeColor="text1"/>
          <w:sz w:val="22"/>
          <w:szCs w:val="22"/>
        </w:rPr>
        <w:t xml:space="preserve"> </w:t>
      </w:r>
      <w:r w:rsidR="007F1618">
        <w:rPr>
          <w:rFonts w:asciiTheme="minorHAnsi" w:hAnsiTheme="minorHAnsi"/>
          <w:b/>
          <w:color w:val="000000" w:themeColor="text1"/>
          <w:sz w:val="22"/>
          <w:szCs w:val="22"/>
        </w:rPr>
        <w:t>€</w:t>
      </w:r>
      <w:r w:rsidRPr="00E85861">
        <w:rPr>
          <w:rFonts w:asciiTheme="minorHAnsi" w:hAnsiTheme="minorHAnsi"/>
          <w:b/>
          <w:color w:val="000000" w:themeColor="text1"/>
          <w:sz w:val="22"/>
          <w:szCs w:val="22"/>
        </w:rPr>
        <w:t xml:space="preserve"> </w:t>
      </w:r>
      <w:r w:rsidRPr="00E85861">
        <w:rPr>
          <w:rFonts w:asciiTheme="minorHAnsi" w:hAnsiTheme="minorHAnsi"/>
          <w:bCs/>
          <w:color w:val="000000" w:themeColor="text1"/>
          <w:sz w:val="22"/>
          <w:szCs w:val="22"/>
        </w:rPr>
        <w:t xml:space="preserve">ili </w:t>
      </w:r>
      <w:r w:rsidR="007F1618">
        <w:rPr>
          <w:rFonts w:asciiTheme="minorHAnsi" w:hAnsiTheme="minorHAnsi"/>
          <w:bCs/>
          <w:color w:val="000000" w:themeColor="text1"/>
          <w:sz w:val="22"/>
          <w:szCs w:val="22"/>
        </w:rPr>
        <w:t>14,3</w:t>
      </w:r>
      <w:r w:rsidRPr="00E85861">
        <w:rPr>
          <w:rFonts w:asciiTheme="minorHAnsi" w:hAnsiTheme="minorHAnsi"/>
          <w:bCs/>
          <w:color w:val="000000" w:themeColor="text1"/>
          <w:sz w:val="22"/>
          <w:szCs w:val="22"/>
        </w:rPr>
        <w:t>%</w:t>
      </w:r>
      <w:r w:rsidRPr="00E85861">
        <w:rPr>
          <w:rFonts w:asciiTheme="minorHAnsi" w:hAnsiTheme="minorHAnsi"/>
          <w:b/>
          <w:color w:val="000000" w:themeColor="text1"/>
          <w:sz w:val="22"/>
          <w:szCs w:val="22"/>
        </w:rPr>
        <w:t xml:space="preserve"> </w:t>
      </w:r>
      <w:r w:rsidR="007F1618">
        <w:rPr>
          <w:rFonts w:asciiTheme="minorHAnsi" w:hAnsiTheme="minorHAnsi"/>
          <w:color w:val="000000" w:themeColor="text1"/>
          <w:sz w:val="22"/>
          <w:szCs w:val="22"/>
        </w:rPr>
        <w:t>manje</w:t>
      </w:r>
      <w:r w:rsidRPr="00E85861">
        <w:rPr>
          <w:rFonts w:asciiTheme="minorHAnsi" w:hAnsiTheme="minorHAnsi"/>
          <w:color w:val="000000" w:themeColor="text1"/>
          <w:sz w:val="22"/>
          <w:szCs w:val="22"/>
        </w:rPr>
        <w:t xml:space="preserve"> od</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stanja na početku godine</w:t>
      </w:r>
      <w:r w:rsidRPr="00E85861">
        <w:rPr>
          <w:rFonts w:asciiTheme="minorHAnsi" w:hAnsiTheme="minorHAnsi"/>
          <w:b/>
          <w:color w:val="000000" w:themeColor="text1"/>
          <w:sz w:val="22"/>
          <w:szCs w:val="22"/>
        </w:rPr>
        <w:t xml:space="preserve">. </w:t>
      </w:r>
    </w:p>
    <w:p w:rsidR="00345C4A" w:rsidRDefault="00345C4A"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3.</w:t>
      </w:r>
    </w:p>
    <w:p w:rsidR="00345C4A" w:rsidRDefault="00345C4A" w:rsidP="00345C4A">
      <w:pPr>
        <w:jc w:val="both"/>
        <w:rPr>
          <w:rFonts w:asciiTheme="minorHAnsi" w:hAnsiTheme="minorHAnsi"/>
          <w:color w:val="000000" w:themeColor="text1"/>
          <w:sz w:val="22"/>
          <w:szCs w:val="22"/>
        </w:rPr>
      </w:pPr>
    </w:p>
    <w:p w:rsidR="00345C4A" w:rsidRPr="00E85861" w:rsidRDefault="00345C4A" w:rsidP="00345C4A">
      <w:pPr>
        <w:jc w:val="both"/>
        <w:rPr>
          <w:rFonts w:asciiTheme="minorHAnsi" w:hAnsiTheme="minorHAnsi"/>
          <w:color w:val="000000" w:themeColor="text1"/>
          <w:sz w:val="22"/>
          <w:szCs w:val="22"/>
        </w:rPr>
      </w:pPr>
    </w:p>
    <w:p w:rsidR="00345C4A" w:rsidRPr="00E85861" w:rsidRDefault="00345C4A" w:rsidP="00345C4A">
      <w:pPr>
        <w:spacing w:after="24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Nefinancijska imovina (</w:t>
      </w:r>
      <w:r>
        <w:rPr>
          <w:rFonts w:asciiTheme="minorHAnsi" w:hAnsiTheme="minorHAnsi"/>
          <w:b/>
          <w:color w:val="000000" w:themeColor="text1"/>
          <w:sz w:val="22"/>
          <w:szCs w:val="22"/>
        </w:rPr>
        <w:t>šifra</w:t>
      </w:r>
      <w:r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B002</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iznosi </w:t>
      </w:r>
      <w:r w:rsidR="007F1618">
        <w:rPr>
          <w:rFonts w:asciiTheme="minorHAnsi" w:hAnsiTheme="minorHAnsi"/>
          <w:color w:val="000000" w:themeColor="text1"/>
          <w:sz w:val="22"/>
          <w:szCs w:val="22"/>
        </w:rPr>
        <w:t>53.213.167,30</w:t>
      </w:r>
      <w:r>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i odnosi se na sljedeće:</w:t>
      </w:r>
    </w:p>
    <w:p w:rsidR="00345C4A" w:rsidRDefault="00345C4A" w:rsidP="00345C4A">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r w:rsidRPr="007F1618">
        <w:rPr>
          <w:rFonts w:asciiTheme="minorHAnsi" w:hAnsiTheme="minorHAnsi"/>
          <w:b/>
          <w:color w:val="000000" w:themeColor="text1"/>
          <w:sz w:val="22"/>
          <w:szCs w:val="22"/>
        </w:rPr>
        <w:t>Neproizvedenu dugotrajnu imovinu  (šifra 01)</w:t>
      </w:r>
      <w:r w:rsidRPr="007F1618">
        <w:rPr>
          <w:rFonts w:asciiTheme="minorHAnsi" w:hAnsiTheme="minorHAnsi"/>
          <w:color w:val="000000" w:themeColor="text1"/>
          <w:sz w:val="22"/>
          <w:szCs w:val="22"/>
        </w:rPr>
        <w:t xml:space="preserve"> u iznosu od </w:t>
      </w:r>
      <w:r w:rsidR="007F1618" w:rsidRPr="007F1618">
        <w:rPr>
          <w:rFonts w:asciiTheme="minorHAnsi" w:hAnsiTheme="minorHAnsi"/>
          <w:color w:val="000000" w:themeColor="text1"/>
          <w:sz w:val="22"/>
          <w:szCs w:val="22"/>
        </w:rPr>
        <w:t>25.626.293,47</w:t>
      </w:r>
      <w:r w:rsidRPr="007F1618">
        <w:rPr>
          <w:rFonts w:asciiTheme="minorHAnsi" w:hAnsiTheme="minorHAnsi"/>
          <w:bCs/>
          <w:color w:val="000000" w:themeColor="text1"/>
          <w:sz w:val="22"/>
          <w:szCs w:val="22"/>
        </w:rPr>
        <w:t xml:space="preserve"> </w:t>
      </w:r>
      <w:r w:rsidR="007F1618" w:rsidRPr="007F1618">
        <w:rPr>
          <w:rFonts w:asciiTheme="minorHAnsi" w:hAnsiTheme="minorHAnsi"/>
          <w:color w:val="000000" w:themeColor="text1"/>
          <w:sz w:val="22"/>
          <w:szCs w:val="22"/>
        </w:rPr>
        <w:t>€</w:t>
      </w:r>
      <w:r w:rsidRPr="007F1618">
        <w:rPr>
          <w:rFonts w:asciiTheme="minorHAnsi" w:hAnsiTheme="minorHAnsi"/>
          <w:color w:val="000000" w:themeColor="text1"/>
          <w:sz w:val="22"/>
          <w:szCs w:val="22"/>
        </w:rPr>
        <w:t xml:space="preserve"> </w:t>
      </w:r>
      <w:r w:rsidR="007F1618" w:rsidRPr="007F1618">
        <w:rPr>
          <w:rFonts w:asciiTheme="minorHAnsi" w:hAnsiTheme="minorHAnsi"/>
          <w:color w:val="000000" w:themeColor="text1"/>
          <w:sz w:val="22"/>
          <w:szCs w:val="22"/>
        </w:rPr>
        <w:t>što predstavlja povećanje od 0,6</w:t>
      </w:r>
      <w:r w:rsidRPr="007F1618">
        <w:rPr>
          <w:rFonts w:asciiTheme="minorHAnsi" w:hAnsiTheme="minorHAnsi"/>
          <w:color w:val="000000" w:themeColor="text1"/>
          <w:sz w:val="22"/>
          <w:szCs w:val="22"/>
        </w:rPr>
        <w:t>% vrijednosti ove imovine na početku godine. Do povećanja je došlo</w:t>
      </w:r>
      <w:r w:rsidR="007F1618">
        <w:rPr>
          <w:rFonts w:asciiTheme="minorHAnsi" w:hAnsiTheme="minorHAnsi"/>
          <w:color w:val="000000" w:themeColor="text1"/>
          <w:sz w:val="22"/>
          <w:szCs w:val="22"/>
        </w:rPr>
        <w:t xml:space="preserve"> najvećim dijelom </w:t>
      </w:r>
      <w:r w:rsidRPr="007F1618">
        <w:rPr>
          <w:rFonts w:asciiTheme="minorHAnsi" w:hAnsiTheme="minorHAnsi"/>
          <w:color w:val="000000" w:themeColor="text1"/>
          <w:sz w:val="22"/>
          <w:szCs w:val="22"/>
        </w:rPr>
        <w:t xml:space="preserve">zbog nabave zemljišta potrebnog za izgradnju </w:t>
      </w:r>
      <w:r w:rsidR="007F1618">
        <w:rPr>
          <w:rFonts w:asciiTheme="minorHAnsi" w:hAnsiTheme="minorHAnsi"/>
          <w:color w:val="000000" w:themeColor="text1"/>
          <w:sz w:val="22"/>
          <w:szCs w:val="22"/>
        </w:rPr>
        <w:t>parkirališta u Marinićima.</w:t>
      </w:r>
    </w:p>
    <w:p w:rsidR="007F1618" w:rsidRPr="007F1618" w:rsidRDefault="007F1618" w:rsidP="007F1618">
      <w:pPr>
        <w:pStyle w:val="Odlomakpopisa"/>
        <w:ind w:left="360"/>
        <w:jc w:val="both"/>
        <w:rPr>
          <w:rFonts w:asciiTheme="minorHAnsi" w:hAnsiTheme="minorHAnsi"/>
          <w:color w:val="000000" w:themeColor="text1"/>
          <w:sz w:val="22"/>
          <w:szCs w:val="22"/>
        </w:rPr>
      </w:pPr>
    </w:p>
    <w:p w:rsidR="00345C4A" w:rsidRDefault="00345C4A" w:rsidP="00345C4A">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Proizvedenu dugotrajnu imovinu (</w:t>
      </w:r>
      <w:r>
        <w:rPr>
          <w:rFonts w:asciiTheme="minorHAnsi" w:hAnsiTheme="minorHAnsi"/>
          <w:b/>
          <w:color w:val="000000" w:themeColor="text1"/>
          <w:sz w:val="22"/>
          <w:szCs w:val="22"/>
        </w:rPr>
        <w:t>šifra 02</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koja iznosi </w:t>
      </w:r>
      <w:r w:rsidR="007F1618">
        <w:rPr>
          <w:rFonts w:asciiTheme="minorHAnsi" w:hAnsiTheme="minorHAnsi"/>
          <w:color w:val="000000" w:themeColor="text1"/>
          <w:sz w:val="22"/>
          <w:szCs w:val="22"/>
        </w:rPr>
        <w:t>19.930.835,15</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 što je 15,3</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više</w:t>
      </w: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u odnosu na početno stanje, a rezultat je </w:t>
      </w:r>
      <w:r w:rsidR="007F1618">
        <w:rPr>
          <w:rFonts w:asciiTheme="minorHAnsi" w:hAnsiTheme="minorHAnsi"/>
          <w:color w:val="000000" w:themeColor="text1"/>
          <w:sz w:val="22"/>
          <w:szCs w:val="22"/>
        </w:rPr>
        <w:t>povećanja</w:t>
      </w:r>
      <w:r w:rsidRPr="00E85861">
        <w:rPr>
          <w:rFonts w:asciiTheme="minorHAnsi" w:hAnsiTheme="minorHAnsi"/>
          <w:color w:val="000000" w:themeColor="text1"/>
          <w:sz w:val="22"/>
          <w:szCs w:val="22"/>
        </w:rPr>
        <w:t xml:space="preserve"> vrijednosti imovine po osnovi izvršenih ulaganja u tijeku godine. Veća odstupanja prisutna su na: </w:t>
      </w:r>
    </w:p>
    <w:p w:rsidR="00345C4A" w:rsidRPr="00E85861" w:rsidRDefault="00345C4A" w:rsidP="00345C4A">
      <w:pPr>
        <w:pStyle w:val="Odlomakpopisa"/>
        <w:ind w:left="360"/>
        <w:jc w:val="both"/>
        <w:rPr>
          <w:rFonts w:asciiTheme="minorHAnsi" w:hAnsiTheme="minorHAnsi"/>
          <w:color w:val="000000" w:themeColor="text1"/>
          <w:sz w:val="22"/>
          <w:szCs w:val="22"/>
        </w:rPr>
      </w:pPr>
    </w:p>
    <w:p w:rsidR="00345C4A" w:rsidRPr="00F15666" w:rsidRDefault="00345C4A" w:rsidP="00345C4A">
      <w:pPr>
        <w:pStyle w:val="Odlomakpopisa"/>
        <w:numPr>
          <w:ilvl w:val="0"/>
          <w:numId w:val="7"/>
        </w:numPr>
        <w:jc w:val="both"/>
        <w:rPr>
          <w:rFonts w:asciiTheme="minorHAnsi" w:hAnsiTheme="minorHAnsi"/>
          <w:color w:val="000000" w:themeColor="text1"/>
          <w:sz w:val="22"/>
          <w:szCs w:val="22"/>
        </w:rPr>
      </w:pPr>
      <w:r w:rsidRPr="00F15666">
        <w:rPr>
          <w:rFonts w:asciiTheme="minorHAnsi" w:hAnsiTheme="minorHAnsi"/>
          <w:color w:val="000000" w:themeColor="text1"/>
          <w:sz w:val="22"/>
          <w:szCs w:val="22"/>
        </w:rPr>
        <w:t>ceste, željeznice i ostali prometni objekti (</w:t>
      </w:r>
      <w:r>
        <w:rPr>
          <w:rFonts w:asciiTheme="minorHAnsi" w:hAnsiTheme="minorHAnsi"/>
          <w:b/>
          <w:color w:val="000000" w:themeColor="text1"/>
          <w:sz w:val="22"/>
          <w:szCs w:val="22"/>
        </w:rPr>
        <w:t>šifra</w:t>
      </w:r>
      <w:r w:rsidRPr="00E85861">
        <w:rPr>
          <w:rFonts w:asciiTheme="minorHAnsi" w:hAnsiTheme="minorHAnsi"/>
          <w:b/>
          <w:color w:val="000000" w:themeColor="text1"/>
          <w:sz w:val="22"/>
          <w:szCs w:val="22"/>
        </w:rPr>
        <w:t xml:space="preserve"> 0</w:t>
      </w:r>
      <w:r>
        <w:rPr>
          <w:rFonts w:asciiTheme="minorHAnsi" w:hAnsiTheme="minorHAnsi"/>
          <w:b/>
          <w:color w:val="000000" w:themeColor="text1"/>
          <w:sz w:val="22"/>
          <w:szCs w:val="22"/>
        </w:rPr>
        <w:t>2</w:t>
      </w:r>
      <w:r w:rsidRPr="00E85861">
        <w:rPr>
          <w:rFonts w:asciiTheme="minorHAnsi" w:hAnsiTheme="minorHAnsi"/>
          <w:b/>
          <w:color w:val="000000" w:themeColor="text1"/>
          <w:sz w:val="22"/>
          <w:szCs w:val="22"/>
        </w:rPr>
        <w:t>1</w:t>
      </w:r>
      <w:r>
        <w:rPr>
          <w:rFonts w:asciiTheme="minorHAnsi" w:hAnsiTheme="minorHAnsi"/>
          <w:b/>
          <w:color w:val="000000" w:themeColor="text1"/>
          <w:sz w:val="22"/>
          <w:szCs w:val="22"/>
        </w:rPr>
        <w:t>3</w:t>
      </w:r>
      <w:r w:rsidRPr="00F15666">
        <w:rPr>
          <w:rFonts w:asciiTheme="minorHAnsi" w:hAnsiTheme="minorHAnsi"/>
          <w:color w:val="000000" w:themeColor="text1"/>
          <w:sz w:val="22"/>
          <w:szCs w:val="22"/>
        </w:rPr>
        <w:t xml:space="preserve">) iznose </w:t>
      </w:r>
      <w:r w:rsidR="007F1618">
        <w:rPr>
          <w:rFonts w:asciiTheme="minorHAnsi" w:hAnsiTheme="minorHAnsi"/>
          <w:color w:val="000000" w:themeColor="text1"/>
          <w:sz w:val="22"/>
          <w:szCs w:val="22"/>
        </w:rPr>
        <w:t>11.528.377,54</w:t>
      </w:r>
      <w:r w:rsidRPr="00F15666">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F15666">
        <w:rPr>
          <w:rFonts w:asciiTheme="minorHAnsi" w:hAnsiTheme="minorHAnsi"/>
          <w:color w:val="000000" w:themeColor="text1"/>
          <w:sz w:val="22"/>
          <w:szCs w:val="22"/>
        </w:rPr>
        <w:t xml:space="preserve"> i povećani</w:t>
      </w:r>
      <w:r w:rsidR="007F1618">
        <w:rPr>
          <w:rFonts w:asciiTheme="minorHAnsi" w:hAnsiTheme="minorHAnsi"/>
          <w:color w:val="000000" w:themeColor="text1"/>
          <w:sz w:val="22"/>
          <w:szCs w:val="22"/>
        </w:rPr>
        <w:t xml:space="preserve"> su za 2</w:t>
      </w:r>
      <w:r>
        <w:rPr>
          <w:rFonts w:asciiTheme="minorHAnsi" w:hAnsiTheme="minorHAnsi"/>
          <w:color w:val="000000" w:themeColor="text1"/>
          <w:sz w:val="22"/>
          <w:szCs w:val="22"/>
        </w:rPr>
        <w:t>7</w:t>
      </w:r>
      <w:r w:rsidRPr="00F15666">
        <w:rPr>
          <w:rFonts w:asciiTheme="minorHAnsi" w:hAnsiTheme="minorHAnsi"/>
          <w:color w:val="000000" w:themeColor="text1"/>
          <w:sz w:val="22"/>
          <w:szCs w:val="22"/>
        </w:rPr>
        <w:t>% zbog dodatnih ulaganja u postojeće ceste</w:t>
      </w:r>
      <w:r w:rsidR="007F1618">
        <w:rPr>
          <w:rFonts w:asciiTheme="minorHAnsi" w:hAnsiTheme="minorHAnsi"/>
          <w:color w:val="000000" w:themeColor="text1"/>
          <w:sz w:val="22"/>
          <w:szCs w:val="22"/>
        </w:rPr>
        <w:t xml:space="preserve"> i izgradnje cesta za Radnu zonu Marišćina</w:t>
      </w:r>
    </w:p>
    <w:p w:rsidR="00345C4A" w:rsidRDefault="00345C4A" w:rsidP="00345C4A">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ostali građevinski objekti (</w:t>
      </w:r>
      <w:r>
        <w:rPr>
          <w:rFonts w:asciiTheme="minorHAnsi" w:hAnsiTheme="minorHAnsi"/>
          <w:b/>
          <w:color w:val="000000" w:themeColor="text1"/>
          <w:sz w:val="22"/>
          <w:szCs w:val="22"/>
        </w:rPr>
        <w:t>šifra</w:t>
      </w:r>
      <w:r w:rsidRPr="00E85861">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0214</w:t>
      </w:r>
      <w:r w:rsidRPr="00E85861">
        <w:rPr>
          <w:rFonts w:asciiTheme="minorHAnsi" w:hAnsiTheme="minorHAnsi"/>
          <w:color w:val="000000" w:themeColor="text1"/>
          <w:sz w:val="22"/>
          <w:szCs w:val="22"/>
        </w:rPr>
        <w:t xml:space="preserve">) iznose </w:t>
      </w:r>
      <w:r w:rsidR="007F1618">
        <w:rPr>
          <w:rFonts w:asciiTheme="minorHAnsi" w:hAnsiTheme="minorHAnsi"/>
          <w:color w:val="000000" w:themeColor="text1"/>
          <w:sz w:val="22"/>
          <w:szCs w:val="22"/>
        </w:rPr>
        <w:t>9.283.178,06</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i p</w:t>
      </w:r>
      <w:r w:rsidR="007F1618">
        <w:rPr>
          <w:rFonts w:asciiTheme="minorHAnsi" w:hAnsiTheme="minorHAnsi"/>
          <w:color w:val="000000" w:themeColor="text1"/>
          <w:sz w:val="22"/>
          <w:szCs w:val="22"/>
        </w:rPr>
        <w:t>ovećani su za 14,7</w:t>
      </w:r>
      <w:r>
        <w:rPr>
          <w:rFonts w:asciiTheme="minorHAnsi" w:hAnsiTheme="minorHAnsi"/>
          <w:color w:val="000000" w:themeColor="text1"/>
          <w:sz w:val="22"/>
          <w:szCs w:val="22"/>
        </w:rPr>
        <w:t xml:space="preserve">% zbog </w:t>
      </w:r>
      <w:r w:rsidR="00697632">
        <w:rPr>
          <w:rFonts w:asciiTheme="minorHAnsi" w:hAnsiTheme="minorHAnsi"/>
          <w:color w:val="000000" w:themeColor="text1"/>
          <w:sz w:val="22"/>
          <w:szCs w:val="22"/>
        </w:rPr>
        <w:t>izgradnje platoa u Radnoj zoni Marišćina, proširenja javne rasvjete i uređenja javne površine kod groblja</w:t>
      </w:r>
    </w:p>
    <w:p w:rsidR="00697632" w:rsidRPr="00697632" w:rsidRDefault="00697632" w:rsidP="00697632">
      <w:pPr>
        <w:pStyle w:val="Odlomakpopisa"/>
        <w:numPr>
          <w:ilvl w:val="0"/>
          <w:numId w:val="7"/>
        </w:numPr>
        <w:rPr>
          <w:rFonts w:asciiTheme="minorHAnsi" w:hAnsiTheme="minorHAnsi"/>
          <w:color w:val="000000" w:themeColor="text1"/>
          <w:sz w:val="22"/>
          <w:szCs w:val="22"/>
        </w:rPr>
      </w:pPr>
      <w:r>
        <w:rPr>
          <w:rFonts w:asciiTheme="minorHAnsi" w:hAnsiTheme="minorHAnsi"/>
          <w:color w:val="000000" w:themeColor="text1"/>
          <w:sz w:val="22"/>
          <w:szCs w:val="22"/>
        </w:rPr>
        <w:t>oprema za održavanje i zaštitu (šifra 0223) iznosi</w:t>
      </w:r>
      <w:r w:rsidRPr="0069763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201.709,87 </w:t>
      </w:r>
      <w:r w:rsidRPr="00697632">
        <w:rPr>
          <w:rFonts w:asciiTheme="minorHAnsi" w:hAnsiTheme="minorHAnsi"/>
          <w:color w:val="000000" w:themeColor="text1"/>
          <w:sz w:val="22"/>
          <w:szCs w:val="22"/>
        </w:rPr>
        <w:t xml:space="preserve">€ i </w:t>
      </w:r>
      <w:r>
        <w:rPr>
          <w:rFonts w:asciiTheme="minorHAnsi" w:hAnsiTheme="minorHAnsi"/>
          <w:color w:val="000000" w:themeColor="text1"/>
          <w:sz w:val="22"/>
          <w:szCs w:val="22"/>
        </w:rPr>
        <w:t>veća je</w:t>
      </w:r>
      <w:r w:rsidRPr="00697632">
        <w:rPr>
          <w:rFonts w:asciiTheme="minorHAnsi" w:hAnsiTheme="minorHAnsi"/>
          <w:color w:val="000000" w:themeColor="text1"/>
          <w:sz w:val="22"/>
          <w:szCs w:val="22"/>
        </w:rPr>
        <w:t xml:space="preserve"> za </w:t>
      </w:r>
      <w:r>
        <w:rPr>
          <w:rFonts w:asciiTheme="minorHAnsi" w:hAnsiTheme="minorHAnsi"/>
          <w:color w:val="000000" w:themeColor="text1"/>
          <w:sz w:val="22"/>
          <w:szCs w:val="22"/>
        </w:rPr>
        <w:t>25,2</w:t>
      </w:r>
      <w:r w:rsidRPr="00697632">
        <w:rPr>
          <w:rFonts w:asciiTheme="minorHAnsi" w:hAnsiTheme="minorHAnsi"/>
          <w:color w:val="000000" w:themeColor="text1"/>
          <w:sz w:val="22"/>
          <w:szCs w:val="22"/>
        </w:rPr>
        <w:t xml:space="preserve">% zbog </w:t>
      </w:r>
      <w:r>
        <w:rPr>
          <w:rFonts w:asciiTheme="minorHAnsi" w:hAnsiTheme="minorHAnsi"/>
          <w:color w:val="000000" w:themeColor="text1"/>
          <w:sz w:val="22"/>
          <w:szCs w:val="22"/>
        </w:rPr>
        <w:t>ugradnje opreme za video nadzor na novim javnim površinama (kružno raskrižje kod groblja, divlji deponiji, javna površina na Marinićima)</w:t>
      </w:r>
    </w:p>
    <w:p w:rsidR="00345C4A" w:rsidRPr="00380011" w:rsidRDefault="00345C4A" w:rsidP="00345C4A">
      <w:pPr>
        <w:pStyle w:val="Odlomakpopisa"/>
        <w:numPr>
          <w:ilvl w:val="0"/>
          <w:numId w:val="7"/>
        </w:numPr>
        <w:rPr>
          <w:rFonts w:asciiTheme="minorHAnsi" w:hAnsiTheme="minorHAnsi"/>
          <w:color w:val="000000" w:themeColor="text1"/>
          <w:sz w:val="22"/>
          <w:szCs w:val="22"/>
        </w:rPr>
      </w:pPr>
      <w:r w:rsidRPr="00BF3070">
        <w:rPr>
          <w:rFonts w:asciiTheme="minorHAnsi" w:hAnsiTheme="minorHAnsi"/>
          <w:color w:val="000000" w:themeColor="text1"/>
          <w:sz w:val="22"/>
          <w:szCs w:val="22"/>
        </w:rPr>
        <w:t>uređaji, strojevi i oprema za ostale namjene (</w:t>
      </w:r>
      <w:r w:rsidRPr="00BF3070">
        <w:rPr>
          <w:rFonts w:asciiTheme="minorHAnsi" w:hAnsiTheme="minorHAnsi"/>
          <w:b/>
          <w:color w:val="000000" w:themeColor="text1"/>
          <w:sz w:val="22"/>
          <w:szCs w:val="22"/>
        </w:rPr>
        <w:t>šifra 0227</w:t>
      </w:r>
      <w:r w:rsidRPr="00BF3070">
        <w:rPr>
          <w:rFonts w:asciiTheme="minorHAnsi" w:hAnsiTheme="minorHAnsi"/>
          <w:color w:val="000000" w:themeColor="text1"/>
          <w:sz w:val="22"/>
          <w:szCs w:val="22"/>
        </w:rPr>
        <w:t xml:space="preserve">) iznose </w:t>
      </w:r>
      <w:r w:rsidR="00697632">
        <w:rPr>
          <w:rFonts w:asciiTheme="minorHAnsi" w:hAnsiTheme="minorHAnsi"/>
          <w:color w:val="000000" w:themeColor="text1"/>
          <w:sz w:val="22"/>
          <w:szCs w:val="22"/>
        </w:rPr>
        <w:t>478.073,08</w:t>
      </w:r>
      <w:r w:rsidRPr="00BF3070">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BF3070">
        <w:rPr>
          <w:rFonts w:asciiTheme="minorHAnsi" w:hAnsiTheme="minorHAnsi"/>
          <w:color w:val="000000" w:themeColor="text1"/>
          <w:sz w:val="22"/>
          <w:szCs w:val="22"/>
        </w:rPr>
        <w:t xml:space="preserve"> i </w:t>
      </w:r>
      <w:r w:rsidR="00697632">
        <w:rPr>
          <w:rFonts w:asciiTheme="minorHAnsi" w:hAnsiTheme="minorHAnsi"/>
          <w:color w:val="000000" w:themeColor="text1"/>
          <w:sz w:val="22"/>
          <w:szCs w:val="22"/>
        </w:rPr>
        <w:t>veći su za 7</w:t>
      </w:r>
      <w:r w:rsidRPr="00BF3070">
        <w:rPr>
          <w:rFonts w:asciiTheme="minorHAnsi" w:hAnsiTheme="minorHAnsi"/>
          <w:color w:val="000000" w:themeColor="text1"/>
          <w:sz w:val="22"/>
          <w:szCs w:val="22"/>
        </w:rPr>
        <w:t xml:space="preserve">,9% zbog </w:t>
      </w:r>
      <w:r w:rsidR="00697632">
        <w:rPr>
          <w:rFonts w:asciiTheme="minorHAnsi" w:hAnsiTheme="minorHAnsi"/>
          <w:color w:val="000000" w:themeColor="text1"/>
          <w:sz w:val="22"/>
          <w:szCs w:val="22"/>
        </w:rPr>
        <w:t xml:space="preserve">nabavke </w:t>
      </w:r>
      <w:r w:rsidR="007572DE">
        <w:rPr>
          <w:rFonts w:asciiTheme="minorHAnsi" w:hAnsiTheme="minorHAnsi"/>
          <w:color w:val="000000" w:themeColor="text1"/>
          <w:sz w:val="22"/>
          <w:szCs w:val="22"/>
        </w:rPr>
        <w:t>komunalne opreme za javne površine</w:t>
      </w:r>
    </w:p>
    <w:p w:rsidR="00345C4A" w:rsidRPr="00E85861" w:rsidRDefault="00345C4A" w:rsidP="00345C4A">
      <w:pPr>
        <w:jc w:val="both"/>
        <w:rPr>
          <w:rFonts w:asciiTheme="minorHAnsi" w:hAnsiTheme="minorHAnsi"/>
          <w:b/>
          <w:color w:val="000000" w:themeColor="text1"/>
          <w:sz w:val="22"/>
          <w:szCs w:val="22"/>
        </w:rPr>
      </w:pPr>
    </w:p>
    <w:p w:rsidR="00345C4A" w:rsidRDefault="00345C4A" w:rsidP="00345C4A">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Dugotrajna nefinancijska imovina u pripremi (</w:t>
      </w:r>
      <w:r w:rsidRPr="00BF3070">
        <w:rPr>
          <w:rFonts w:asciiTheme="minorHAnsi" w:hAnsiTheme="minorHAnsi"/>
          <w:b/>
          <w:color w:val="000000" w:themeColor="text1"/>
          <w:sz w:val="22"/>
          <w:szCs w:val="22"/>
        </w:rPr>
        <w:t xml:space="preserve">šifra </w:t>
      </w:r>
      <w:r>
        <w:rPr>
          <w:rFonts w:asciiTheme="minorHAnsi" w:hAnsiTheme="minorHAnsi"/>
          <w:b/>
          <w:color w:val="000000" w:themeColor="text1"/>
          <w:sz w:val="22"/>
          <w:szCs w:val="22"/>
        </w:rPr>
        <w:t>05</w:t>
      </w:r>
      <w:r w:rsidRPr="00E8586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iznosi </w:t>
      </w:r>
      <w:r w:rsidR="007572DE">
        <w:rPr>
          <w:rFonts w:asciiTheme="minorHAnsi" w:hAnsiTheme="minorHAnsi"/>
          <w:color w:val="000000" w:themeColor="text1"/>
          <w:sz w:val="22"/>
          <w:szCs w:val="22"/>
        </w:rPr>
        <w:t>7.656.038,68</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i </w:t>
      </w:r>
      <w:r>
        <w:rPr>
          <w:rFonts w:asciiTheme="minorHAnsi" w:hAnsiTheme="minorHAnsi"/>
          <w:color w:val="000000" w:themeColor="text1"/>
          <w:sz w:val="22"/>
          <w:szCs w:val="22"/>
        </w:rPr>
        <w:t>povećana</w:t>
      </w:r>
      <w:r w:rsidRPr="00E85861">
        <w:rPr>
          <w:rFonts w:asciiTheme="minorHAnsi" w:hAnsiTheme="minorHAnsi"/>
          <w:color w:val="000000" w:themeColor="text1"/>
          <w:sz w:val="22"/>
          <w:szCs w:val="22"/>
        </w:rPr>
        <w:t xml:space="preserve"> je za </w:t>
      </w:r>
      <w:r w:rsidR="007572DE">
        <w:rPr>
          <w:rFonts w:asciiTheme="minorHAnsi" w:hAnsiTheme="minorHAnsi"/>
          <w:color w:val="000000" w:themeColor="text1"/>
          <w:sz w:val="22"/>
          <w:szCs w:val="22"/>
        </w:rPr>
        <w:t>24,3</w:t>
      </w:r>
      <w:r w:rsidRPr="00E85861">
        <w:rPr>
          <w:rFonts w:asciiTheme="minorHAnsi" w:hAnsiTheme="minorHAnsi"/>
          <w:color w:val="000000" w:themeColor="text1"/>
          <w:sz w:val="22"/>
          <w:szCs w:val="22"/>
        </w:rPr>
        <w:t>% u odnosu na stanje 1. siječnja. Veća odstupanja odnose se na:</w:t>
      </w:r>
    </w:p>
    <w:p w:rsidR="00345C4A" w:rsidRPr="00E85861" w:rsidRDefault="00345C4A" w:rsidP="00345C4A">
      <w:pPr>
        <w:jc w:val="both"/>
        <w:rPr>
          <w:rFonts w:asciiTheme="minorHAnsi" w:hAnsiTheme="minorHAnsi"/>
          <w:color w:val="000000" w:themeColor="text1"/>
          <w:sz w:val="22"/>
          <w:szCs w:val="22"/>
        </w:rPr>
      </w:pPr>
    </w:p>
    <w:p w:rsidR="007572DE" w:rsidRDefault="00345C4A" w:rsidP="00345C4A">
      <w:pPr>
        <w:pStyle w:val="Odlomakpopisa"/>
        <w:numPr>
          <w:ilvl w:val="0"/>
          <w:numId w:val="7"/>
        </w:numPr>
        <w:jc w:val="both"/>
        <w:rPr>
          <w:rFonts w:asciiTheme="minorHAnsi" w:hAnsiTheme="minorHAnsi"/>
          <w:color w:val="000000" w:themeColor="text1"/>
          <w:sz w:val="22"/>
          <w:szCs w:val="22"/>
        </w:rPr>
      </w:pPr>
      <w:r w:rsidRPr="007572DE">
        <w:rPr>
          <w:rFonts w:asciiTheme="minorHAnsi" w:hAnsiTheme="minorHAnsi"/>
          <w:color w:val="000000" w:themeColor="text1"/>
          <w:sz w:val="22"/>
          <w:szCs w:val="22"/>
        </w:rPr>
        <w:t>građevinske objekte u pripremi (</w:t>
      </w:r>
      <w:r w:rsidRPr="007572DE">
        <w:rPr>
          <w:rFonts w:asciiTheme="minorHAnsi" w:hAnsiTheme="minorHAnsi"/>
          <w:b/>
          <w:color w:val="000000" w:themeColor="text1"/>
          <w:sz w:val="22"/>
          <w:szCs w:val="22"/>
        </w:rPr>
        <w:t>šifra 051</w:t>
      </w:r>
      <w:r w:rsidRPr="007572DE">
        <w:rPr>
          <w:rFonts w:asciiTheme="minorHAnsi" w:hAnsiTheme="minorHAnsi"/>
          <w:color w:val="000000" w:themeColor="text1"/>
          <w:sz w:val="22"/>
          <w:szCs w:val="22"/>
        </w:rPr>
        <w:t xml:space="preserve">) koji iznose </w:t>
      </w:r>
      <w:r w:rsidR="007572DE" w:rsidRPr="007572DE">
        <w:rPr>
          <w:rFonts w:asciiTheme="minorHAnsi" w:hAnsiTheme="minorHAnsi"/>
          <w:color w:val="000000" w:themeColor="text1"/>
          <w:sz w:val="22"/>
          <w:szCs w:val="22"/>
        </w:rPr>
        <w:t>4.806.990,53</w:t>
      </w:r>
      <w:r w:rsidRPr="007572DE">
        <w:rPr>
          <w:rFonts w:asciiTheme="minorHAnsi" w:hAnsiTheme="minorHAnsi"/>
          <w:color w:val="000000" w:themeColor="text1"/>
          <w:sz w:val="22"/>
          <w:szCs w:val="22"/>
        </w:rPr>
        <w:t xml:space="preserve"> </w:t>
      </w:r>
      <w:r w:rsidR="007F1618" w:rsidRPr="007572DE">
        <w:rPr>
          <w:rFonts w:asciiTheme="minorHAnsi" w:hAnsiTheme="minorHAnsi"/>
          <w:color w:val="000000" w:themeColor="text1"/>
          <w:sz w:val="22"/>
          <w:szCs w:val="22"/>
        </w:rPr>
        <w:t>€</w:t>
      </w:r>
      <w:r w:rsidR="007572DE" w:rsidRPr="007572DE">
        <w:rPr>
          <w:rFonts w:asciiTheme="minorHAnsi" w:hAnsiTheme="minorHAnsi"/>
          <w:color w:val="000000" w:themeColor="text1"/>
          <w:sz w:val="22"/>
          <w:szCs w:val="22"/>
        </w:rPr>
        <w:t xml:space="preserve"> ili 23</w:t>
      </w:r>
      <w:r w:rsidRPr="007572DE">
        <w:rPr>
          <w:rFonts w:asciiTheme="minorHAnsi" w:hAnsiTheme="minorHAnsi"/>
          <w:color w:val="000000" w:themeColor="text1"/>
          <w:sz w:val="22"/>
          <w:szCs w:val="22"/>
        </w:rPr>
        <w:t xml:space="preserve">% više nego na početku godine, a do povećanja je došlo zbog </w:t>
      </w:r>
      <w:r w:rsidR="007572DE" w:rsidRPr="007572DE">
        <w:rPr>
          <w:rFonts w:asciiTheme="minorHAnsi" w:hAnsiTheme="minorHAnsi"/>
          <w:color w:val="000000" w:themeColor="text1"/>
          <w:sz w:val="22"/>
          <w:szCs w:val="22"/>
        </w:rPr>
        <w:t>investicije u</w:t>
      </w:r>
      <w:r w:rsidRPr="007572DE">
        <w:rPr>
          <w:rFonts w:asciiTheme="minorHAnsi" w:hAnsiTheme="minorHAnsi"/>
          <w:color w:val="000000" w:themeColor="text1"/>
          <w:sz w:val="22"/>
          <w:szCs w:val="22"/>
        </w:rPr>
        <w:t xml:space="preserve"> </w:t>
      </w:r>
      <w:r w:rsidR="007572DE" w:rsidRPr="007572DE">
        <w:rPr>
          <w:rFonts w:asciiTheme="minorHAnsi" w:hAnsiTheme="minorHAnsi"/>
          <w:color w:val="000000" w:themeColor="text1"/>
          <w:sz w:val="22"/>
          <w:szCs w:val="22"/>
        </w:rPr>
        <w:t>izgradnju</w:t>
      </w:r>
      <w:r w:rsidRPr="007572DE">
        <w:rPr>
          <w:rFonts w:asciiTheme="minorHAnsi" w:hAnsiTheme="minorHAnsi"/>
          <w:color w:val="000000" w:themeColor="text1"/>
          <w:sz w:val="22"/>
          <w:szCs w:val="22"/>
        </w:rPr>
        <w:t xml:space="preserve"> Kuće halubajskega zvončara</w:t>
      </w:r>
    </w:p>
    <w:p w:rsidR="007572DE" w:rsidRDefault="007572DE" w:rsidP="00345C4A">
      <w:pPr>
        <w:pStyle w:val="Odlomakpopisa"/>
        <w:numPr>
          <w:ilvl w:val="0"/>
          <w:numId w:val="7"/>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postrojenja i oprema u pripremi (šifra 052) </w:t>
      </w:r>
      <w:r w:rsidR="00E60551">
        <w:rPr>
          <w:rFonts w:asciiTheme="minorHAnsi" w:hAnsiTheme="minorHAnsi"/>
          <w:color w:val="000000" w:themeColor="text1"/>
          <w:sz w:val="22"/>
          <w:szCs w:val="22"/>
        </w:rPr>
        <w:t>koji iznose 977.921,70 € zbog nabavke opreme za Kuću</w:t>
      </w:r>
      <w:r w:rsidR="00E60551" w:rsidRPr="007572DE">
        <w:rPr>
          <w:rFonts w:asciiTheme="minorHAnsi" w:hAnsiTheme="minorHAnsi"/>
          <w:color w:val="000000" w:themeColor="text1"/>
          <w:sz w:val="22"/>
          <w:szCs w:val="22"/>
        </w:rPr>
        <w:t xml:space="preserve"> halubajskega zvončara</w:t>
      </w:r>
    </w:p>
    <w:p w:rsidR="00345C4A" w:rsidRPr="007572DE" w:rsidRDefault="00345C4A" w:rsidP="00345C4A">
      <w:pPr>
        <w:pStyle w:val="Odlomakpopisa"/>
        <w:numPr>
          <w:ilvl w:val="0"/>
          <w:numId w:val="7"/>
        </w:numPr>
        <w:jc w:val="both"/>
        <w:rPr>
          <w:rFonts w:asciiTheme="minorHAnsi" w:hAnsiTheme="minorHAnsi"/>
          <w:color w:val="000000" w:themeColor="text1"/>
          <w:sz w:val="22"/>
          <w:szCs w:val="22"/>
        </w:rPr>
      </w:pPr>
      <w:r w:rsidRPr="007572DE">
        <w:rPr>
          <w:rFonts w:asciiTheme="minorHAnsi" w:hAnsiTheme="minorHAnsi"/>
          <w:color w:val="000000" w:themeColor="text1"/>
          <w:sz w:val="22"/>
          <w:szCs w:val="22"/>
        </w:rPr>
        <w:t>ostalu nematerijalnu proizvedenu imovinu u pripremi (</w:t>
      </w:r>
      <w:r w:rsidRPr="007572DE">
        <w:rPr>
          <w:rFonts w:asciiTheme="minorHAnsi" w:hAnsiTheme="minorHAnsi"/>
          <w:b/>
          <w:color w:val="000000" w:themeColor="text1"/>
          <w:sz w:val="22"/>
          <w:szCs w:val="22"/>
        </w:rPr>
        <w:t>šifra 055</w:t>
      </w:r>
      <w:r w:rsidRPr="007572DE">
        <w:rPr>
          <w:rFonts w:asciiTheme="minorHAnsi" w:hAnsiTheme="minorHAnsi"/>
          <w:color w:val="000000" w:themeColor="text1"/>
          <w:sz w:val="22"/>
          <w:szCs w:val="22"/>
        </w:rPr>
        <w:t xml:space="preserve">) koja iznosi </w:t>
      </w:r>
      <w:r w:rsidR="00E60551">
        <w:rPr>
          <w:rFonts w:asciiTheme="minorHAnsi" w:hAnsiTheme="minorHAnsi"/>
          <w:color w:val="000000" w:themeColor="text1"/>
          <w:sz w:val="22"/>
          <w:szCs w:val="22"/>
        </w:rPr>
        <w:t>1.850.663,94</w:t>
      </w:r>
      <w:r w:rsidRPr="007572DE">
        <w:rPr>
          <w:rFonts w:asciiTheme="minorHAnsi" w:hAnsiTheme="minorHAnsi"/>
          <w:color w:val="000000" w:themeColor="text1"/>
          <w:sz w:val="22"/>
          <w:szCs w:val="22"/>
        </w:rPr>
        <w:t xml:space="preserve"> </w:t>
      </w:r>
      <w:r w:rsidR="007F1618" w:rsidRPr="007572DE">
        <w:rPr>
          <w:rFonts w:asciiTheme="minorHAnsi" w:hAnsiTheme="minorHAnsi"/>
          <w:color w:val="000000" w:themeColor="text1"/>
          <w:sz w:val="22"/>
          <w:szCs w:val="22"/>
        </w:rPr>
        <w:t>€</w:t>
      </w:r>
      <w:r w:rsidRPr="007572DE">
        <w:rPr>
          <w:rFonts w:asciiTheme="minorHAnsi" w:hAnsiTheme="minorHAnsi"/>
          <w:color w:val="000000" w:themeColor="text1"/>
          <w:sz w:val="22"/>
          <w:szCs w:val="22"/>
        </w:rPr>
        <w:t xml:space="preserve"> i koja je za </w:t>
      </w:r>
      <w:r w:rsidR="00E60551">
        <w:rPr>
          <w:rFonts w:asciiTheme="minorHAnsi" w:hAnsiTheme="minorHAnsi"/>
          <w:color w:val="000000" w:themeColor="text1"/>
          <w:sz w:val="22"/>
          <w:szCs w:val="22"/>
        </w:rPr>
        <w:t>17,6</w:t>
      </w:r>
      <w:r w:rsidRPr="007572DE">
        <w:rPr>
          <w:rFonts w:asciiTheme="minorHAnsi" w:hAnsiTheme="minorHAnsi"/>
          <w:color w:val="000000" w:themeColor="text1"/>
          <w:sz w:val="22"/>
          <w:szCs w:val="22"/>
        </w:rPr>
        <w:t xml:space="preserve">% </w:t>
      </w:r>
      <w:r w:rsidR="00E60551">
        <w:rPr>
          <w:rFonts w:asciiTheme="minorHAnsi" w:hAnsiTheme="minorHAnsi"/>
          <w:color w:val="000000" w:themeColor="text1"/>
          <w:sz w:val="22"/>
          <w:szCs w:val="22"/>
        </w:rPr>
        <w:t>manja</w:t>
      </w:r>
      <w:r w:rsidRPr="007572DE">
        <w:rPr>
          <w:rFonts w:asciiTheme="minorHAnsi" w:hAnsiTheme="minorHAnsi"/>
          <w:color w:val="000000" w:themeColor="text1"/>
          <w:sz w:val="22"/>
          <w:szCs w:val="22"/>
        </w:rPr>
        <w:t xml:space="preserve"> u odnosu na stanje 01. siječnja 202</w:t>
      </w:r>
      <w:r w:rsidR="00E60551">
        <w:rPr>
          <w:rFonts w:asciiTheme="minorHAnsi" w:hAnsiTheme="minorHAnsi"/>
          <w:color w:val="000000" w:themeColor="text1"/>
          <w:sz w:val="22"/>
          <w:szCs w:val="22"/>
        </w:rPr>
        <w:t>3</w:t>
      </w:r>
      <w:r w:rsidRPr="007572DE">
        <w:rPr>
          <w:rFonts w:asciiTheme="minorHAnsi" w:hAnsiTheme="minorHAnsi"/>
          <w:color w:val="000000" w:themeColor="text1"/>
          <w:sz w:val="22"/>
          <w:szCs w:val="22"/>
        </w:rPr>
        <w:t xml:space="preserve">. godine, a </w:t>
      </w:r>
      <w:r w:rsidR="00E60551">
        <w:rPr>
          <w:rFonts w:asciiTheme="minorHAnsi" w:hAnsiTheme="minorHAnsi"/>
          <w:color w:val="000000" w:themeColor="text1"/>
          <w:sz w:val="22"/>
          <w:szCs w:val="22"/>
        </w:rPr>
        <w:t>smanjenje je rezultat prijenosa u uporabu ulaganja izvršenih</w:t>
      </w:r>
      <w:r w:rsidRPr="007572DE">
        <w:rPr>
          <w:rFonts w:asciiTheme="minorHAnsi" w:hAnsiTheme="minorHAnsi"/>
          <w:color w:val="000000" w:themeColor="text1"/>
          <w:sz w:val="22"/>
          <w:szCs w:val="22"/>
        </w:rPr>
        <w:t xml:space="preserve"> za pripremu projektne i prostorno planske dokumentacije za gradnju objekata </w:t>
      </w:r>
    </w:p>
    <w:p w:rsidR="00345C4A" w:rsidRDefault="00345C4A" w:rsidP="00345C4A">
      <w:pPr>
        <w:jc w:val="both"/>
        <w:rPr>
          <w:rFonts w:asciiTheme="minorHAnsi" w:hAnsiTheme="minorHAnsi"/>
          <w:b/>
          <w:color w:val="000000" w:themeColor="text1"/>
          <w:sz w:val="22"/>
          <w:szCs w:val="22"/>
        </w:rPr>
      </w:pPr>
    </w:p>
    <w:p w:rsidR="00E60551" w:rsidRDefault="00E60551"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4.</w:t>
      </w:r>
    </w:p>
    <w:p w:rsidR="00345C4A" w:rsidRPr="00E85861" w:rsidRDefault="00345C4A" w:rsidP="00345C4A">
      <w:pPr>
        <w:jc w:val="both"/>
        <w:rPr>
          <w:rFonts w:asciiTheme="minorHAnsi" w:hAnsiTheme="minorHAnsi"/>
          <w:color w:val="000000" w:themeColor="text1"/>
          <w:sz w:val="22"/>
          <w:szCs w:val="22"/>
        </w:rPr>
      </w:pPr>
    </w:p>
    <w:p w:rsidR="00345C4A" w:rsidRDefault="00345C4A" w:rsidP="00345C4A">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Financijsku imovinu (</w:t>
      </w:r>
      <w:r w:rsidRPr="00BF3070">
        <w:rPr>
          <w:rFonts w:asciiTheme="minorHAnsi" w:hAnsiTheme="minorHAnsi"/>
          <w:b/>
          <w:color w:val="000000" w:themeColor="text1"/>
          <w:sz w:val="22"/>
          <w:szCs w:val="22"/>
        </w:rPr>
        <w:t xml:space="preserve">šifra </w:t>
      </w:r>
      <w:r>
        <w:rPr>
          <w:rFonts w:asciiTheme="minorHAnsi" w:hAnsiTheme="minorHAnsi"/>
          <w:b/>
          <w:color w:val="000000" w:themeColor="text1"/>
          <w:sz w:val="22"/>
          <w:szCs w:val="22"/>
        </w:rPr>
        <w:t>1</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koja iznosi </w:t>
      </w:r>
      <w:r w:rsidR="00E60551">
        <w:rPr>
          <w:rFonts w:asciiTheme="minorHAnsi" w:hAnsiTheme="minorHAnsi"/>
          <w:color w:val="000000" w:themeColor="text1"/>
          <w:sz w:val="22"/>
          <w:szCs w:val="22"/>
        </w:rPr>
        <w:t>6.569.777,73</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čine:</w:t>
      </w:r>
    </w:p>
    <w:p w:rsidR="00345C4A" w:rsidRPr="00E85861" w:rsidRDefault="00345C4A" w:rsidP="00345C4A">
      <w:pPr>
        <w:tabs>
          <w:tab w:val="left" w:pos="1170"/>
        </w:tabs>
        <w:spacing w:before="24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Novac u banci i blagajni (</w:t>
      </w:r>
      <w:r w:rsidRPr="00BF3070">
        <w:rPr>
          <w:rFonts w:asciiTheme="minorHAnsi" w:hAnsiTheme="minorHAnsi"/>
          <w:b/>
          <w:color w:val="000000" w:themeColor="text1"/>
          <w:sz w:val="22"/>
          <w:szCs w:val="22"/>
        </w:rPr>
        <w:t xml:space="preserve">šifra </w:t>
      </w:r>
      <w:r>
        <w:rPr>
          <w:rFonts w:asciiTheme="minorHAnsi" w:hAnsiTheme="minorHAnsi"/>
          <w:b/>
          <w:color w:val="000000" w:themeColor="text1"/>
          <w:sz w:val="22"/>
          <w:szCs w:val="22"/>
        </w:rPr>
        <w:t>11</w:t>
      </w:r>
      <w:r w:rsidRPr="00E85861">
        <w:rPr>
          <w:rFonts w:asciiTheme="minorHAnsi" w:hAnsiTheme="minorHAnsi"/>
          <w:b/>
          <w:bCs/>
          <w:color w:val="000000" w:themeColor="text1"/>
          <w:sz w:val="22"/>
          <w:szCs w:val="22"/>
        </w:rPr>
        <w:t xml:space="preserve">) </w:t>
      </w:r>
      <w:r w:rsidRPr="00E85861">
        <w:rPr>
          <w:rFonts w:asciiTheme="minorHAnsi" w:hAnsiTheme="minorHAnsi"/>
          <w:bCs/>
          <w:color w:val="000000" w:themeColor="text1"/>
          <w:sz w:val="22"/>
          <w:szCs w:val="22"/>
        </w:rPr>
        <w:t xml:space="preserve">u iznosu od </w:t>
      </w:r>
      <w:r w:rsidR="00E60551">
        <w:rPr>
          <w:rFonts w:asciiTheme="minorHAnsi" w:hAnsiTheme="minorHAnsi"/>
          <w:bCs/>
          <w:color w:val="000000" w:themeColor="text1"/>
          <w:sz w:val="22"/>
          <w:szCs w:val="22"/>
        </w:rPr>
        <w:t>2.631.834,63</w:t>
      </w:r>
      <w:r w:rsidRPr="00E85861">
        <w:rPr>
          <w:rFonts w:asciiTheme="minorHAnsi" w:hAnsiTheme="minorHAnsi"/>
          <w:bCs/>
          <w:color w:val="000000" w:themeColor="text1"/>
          <w:sz w:val="22"/>
          <w:szCs w:val="22"/>
        </w:rPr>
        <w:t xml:space="preserve"> </w:t>
      </w:r>
      <w:r w:rsidR="007F1618">
        <w:rPr>
          <w:rFonts w:asciiTheme="minorHAnsi" w:hAnsiTheme="minorHAnsi"/>
          <w:bCs/>
          <w:color w:val="000000" w:themeColor="text1"/>
          <w:sz w:val="22"/>
          <w:szCs w:val="22"/>
        </w:rPr>
        <w:t>€</w:t>
      </w:r>
      <w:r w:rsidRPr="00E85861">
        <w:rPr>
          <w:rFonts w:asciiTheme="minorHAnsi" w:hAnsiTheme="minorHAnsi"/>
          <w:bCs/>
          <w:color w:val="000000" w:themeColor="text1"/>
          <w:sz w:val="22"/>
          <w:szCs w:val="22"/>
        </w:rPr>
        <w:t xml:space="preserve"> što je </w:t>
      </w:r>
      <w:r w:rsidR="00E60551">
        <w:rPr>
          <w:rFonts w:asciiTheme="minorHAnsi" w:hAnsiTheme="minorHAnsi"/>
          <w:bCs/>
          <w:color w:val="000000" w:themeColor="text1"/>
          <w:sz w:val="22"/>
          <w:szCs w:val="22"/>
        </w:rPr>
        <w:t>smanjenje</w:t>
      </w:r>
      <w:r>
        <w:rPr>
          <w:rFonts w:asciiTheme="minorHAnsi" w:hAnsiTheme="minorHAnsi"/>
          <w:bCs/>
          <w:color w:val="000000" w:themeColor="text1"/>
          <w:sz w:val="22"/>
          <w:szCs w:val="22"/>
        </w:rPr>
        <w:t xml:space="preserve"> za </w:t>
      </w:r>
      <w:r w:rsidR="00E60551">
        <w:rPr>
          <w:rFonts w:asciiTheme="minorHAnsi" w:hAnsiTheme="minorHAnsi"/>
          <w:bCs/>
          <w:color w:val="000000" w:themeColor="text1"/>
          <w:sz w:val="22"/>
          <w:szCs w:val="22"/>
        </w:rPr>
        <w:t>28,</w:t>
      </w:r>
      <w:r>
        <w:rPr>
          <w:rFonts w:asciiTheme="minorHAnsi" w:hAnsiTheme="minorHAnsi"/>
          <w:bCs/>
          <w:color w:val="000000" w:themeColor="text1"/>
          <w:sz w:val="22"/>
          <w:szCs w:val="22"/>
        </w:rPr>
        <w:t>7%</w:t>
      </w:r>
      <w:r w:rsidRPr="00E85861">
        <w:rPr>
          <w:rFonts w:asciiTheme="minorHAnsi" w:hAnsiTheme="minorHAnsi"/>
          <w:bCs/>
          <w:color w:val="000000" w:themeColor="text1"/>
          <w:sz w:val="22"/>
          <w:szCs w:val="22"/>
        </w:rPr>
        <w:t xml:space="preserve"> od stanja na početku godine</w:t>
      </w:r>
      <w:r w:rsidR="00E60551">
        <w:rPr>
          <w:rFonts w:asciiTheme="minorHAnsi" w:hAnsiTheme="minorHAnsi"/>
          <w:bCs/>
          <w:color w:val="000000" w:themeColor="text1"/>
          <w:sz w:val="22"/>
          <w:szCs w:val="22"/>
        </w:rPr>
        <w:t>:</w:t>
      </w:r>
    </w:p>
    <w:p w:rsidR="00E60551" w:rsidRPr="00A06229" w:rsidRDefault="00345C4A" w:rsidP="00A06229">
      <w:pPr>
        <w:pStyle w:val="Odlomakpopisa"/>
        <w:numPr>
          <w:ilvl w:val="0"/>
          <w:numId w:val="7"/>
        </w:numPr>
        <w:tabs>
          <w:tab w:val="left" w:pos="1170"/>
        </w:tabs>
        <w:spacing w:before="240"/>
        <w:jc w:val="both"/>
        <w:rPr>
          <w:rFonts w:asciiTheme="minorHAnsi" w:hAnsiTheme="minorHAnsi"/>
          <w:bCs/>
          <w:color w:val="000000" w:themeColor="text1"/>
          <w:sz w:val="22"/>
          <w:szCs w:val="22"/>
        </w:rPr>
      </w:pPr>
      <w:r w:rsidRPr="002C74CE">
        <w:rPr>
          <w:rFonts w:asciiTheme="minorHAnsi" w:hAnsiTheme="minorHAnsi"/>
          <w:b/>
          <w:bCs/>
          <w:color w:val="000000" w:themeColor="text1"/>
          <w:sz w:val="22"/>
          <w:szCs w:val="22"/>
        </w:rPr>
        <w:lastRenderedPageBreak/>
        <w:t>Novac u banci i blagajni (</w:t>
      </w:r>
      <w:r w:rsidRPr="002C74CE">
        <w:rPr>
          <w:rFonts w:asciiTheme="minorHAnsi" w:hAnsiTheme="minorHAnsi"/>
          <w:b/>
          <w:color w:val="000000" w:themeColor="text1"/>
          <w:sz w:val="22"/>
          <w:szCs w:val="22"/>
        </w:rPr>
        <w:t>šifra 1</w:t>
      </w:r>
      <w:r>
        <w:rPr>
          <w:rFonts w:asciiTheme="minorHAnsi" w:hAnsiTheme="minorHAnsi"/>
          <w:b/>
          <w:color w:val="000000" w:themeColor="text1"/>
          <w:sz w:val="22"/>
          <w:szCs w:val="22"/>
        </w:rPr>
        <w:t>1</w:t>
      </w:r>
      <w:r w:rsidRPr="002C74CE">
        <w:rPr>
          <w:rFonts w:asciiTheme="minorHAnsi" w:hAnsiTheme="minorHAnsi"/>
          <w:b/>
          <w:color w:val="000000" w:themeColor="text1"/>
          <w:sz w:val="22"/>
          <w:szCs w:val="22"/>
        </w:rPr>
        <w:t>1</w:t>
      </w:r>
      <w:r w:rsidRPr="002C74CE">
        <w:rPr>
          <w:rFonts w:asciiTheme="minorHAnsi" w:hAnsiTheme="minorHAnsi"/>
          <w:b/>
          <w:bCs/>
          <w:color w:val="000000" w:themeColor="text1"/>
          <w:sz w:val="22"/>
          <w:szCs w:val="22"/>
        </w:rPr>
        <w:t xml:space="preserve">) </w:t>
      </w:r>
      <w:r w:rsidRPr="002C74CE">
        <w:rPr>
          <w:rFonts w:asciiTheme="minorHAnsi" w:hAnsiTheme="minorHAnsi"/>
          <w:bCs/>
          <w:color w:val="000000" w:themeColor="text1"/>
          <w:sz w:val="22"/>
          <w:szCs w:val="22"/>
        </w:rPr>
        <w:t xml:space="preserve">u iznosu od </w:t>
      </w:r>
      <w:r w:rsidR="00E60551">
        <w:rPr>
          <w:rFonts w:asciiTheme="minorHAnsi" w:hAnsiTheme="minorHAnsi"/>
          <w:bCs/>
          <w:color w:val="000000" w:themeColor="text1"/>
          <w:sz w:val="22"/>
          <w:szCs w:val="22"/>
        </w:rPr>
        <w:t>2.631.772,96</w:t>
      </w:r>
      <w:r w:rsidRPr="002C74CE">
        <w:rPr>
          <w:rFonts w:asciiTheme="minorHAnsi" w:hAnsiTheme="minorHAnsi"/>
          <w:bCs/>
          <w:color w:val="000000" w:themeColor="text1"/>
          <w:sz w:val="22"/>
          <w:szCs w:val="22"/>
        </w:rPr>
        <w:t xml:space="preserve"> </w:t>
      </w:r>
      <w:r w:rsidR="007F1618">
        <w:rPr>
          <w:rFonts w:asciiTheme="minorHAnsi" w:hAnsiTheme="minorHAnsi"/>
          <w:bCs/>
          <w:color w:val="000000" w:themeColor="text1"/>
          <w:sz w:val="22"/>
          <w:szCs w:val="22"/>
        </w:rPr>
        <w:t>€</w:t>
      </w:r>
      <w:r w:rsidRPr="002C74CE">
        <w:rPr>
          <w:rFonts w:asciiTheme="minorHAnsi" w:hAnsiTheme="minorHAnsi"/>
          <w:bCs/>
          <w:color w:val="000000" w:themeColor="text1"/>
          <w:sz w:val="22"/>
          <w:szCs w:val="22"/>
        </w:rPr>
        <w:t xml:space="preserve"> što je </w:t>
      </w:r>
      <w:r w:rsidR="00E60551">
        <w:rPr>
          <w:rFonts w:asciiTheme="minorHAnsi" w:hAnsiTheme="minorHAnsi"/>
          <w:bCs/>
          <w:color w:val="000000" w:themeColor="text1"/>
          <w:sz w:val="22"/>
          <w:szCs w:val="22"/>
        </w:rPr>
        <w:t xml:space="preserve">smanjenje </w:t>
      </w:r>
      <w:r w:rsidRPr="002C74CE">
        <w:rPr>
          <w:rFonts w:asciiTheme="minorHAnsi" w:hAnsiTheme="minorHAnsi"/>
          <w:bCs/>
          <w:color w:val="000000" w:themeColor="text1"/>
          <w:sz w:val="22"/>
          <w:szCs w:val="22"/>
        </w:rPr>
        <w:t xml:space="preserve">za </w:t>
      </w:r>
      <w:r w:rsidR="00E60551">
        <w:rPr>
          <w:rFonts w:asciiTheme="minorHAnsi" w:hAnsiTheme="minorHAnsi"/>
          <w:bCs/>
          <w:color w:val="000000" w:themeColor="text1"/>
          <w:sz w:val="22"/>
          <w:szCs w:val="22"/>
        </w:rPr>
        <w:t>28</w:t>
      </w:r>
      <w:r w:rsidRPr="002C74CE">
        <w:rPr>
          <w:rFonts w:asciiTheme="minorHAnsi" w:hAnsiTheme="minorHAnsi"/>
          <w:bCs/>
          <w:color w:val="000000" w:themeColor="text1"/>
          <w:sz w:val="22"/>
          <w:szCs w:val="22"/>
        </w:rPr>
        <w:t>,</w:t>
      </w:r>
      <w:r w:rsidR="00E60551">
        <w:rPr>
          <w:rFonts w:asciiTheme="minorHAnsi" w:hAnsiTheme="minorHAnsi"/>
          <w:bCs/>
          <w:color w:val="000000" w:themeColor="text1"/>
          <w:sz w:val="22"/>
          <w:szCs w:val="22"/>
        </w:rPr>
        <w:t>7% od stanja na početku godine</w:t>
      </w:r>
    </w:p>
    <w:p w:rsidR="00E60551" w:rsidRPr="00E60551" w:rsidRDefault="00E60551" w:rsidP="00345C4A">
      <w:pPr>
        <w:pStyle w:val="Odlomakpopisa"/>
        <w:numPr>
          <w:ilvl w:val="0"/>
          <w:numId w:val="7"/>
        </w:numPr>
        <w:tabs>
          <w:tab w:val="left" w:pos="1170"/>
        </w:tabs>
        <w:spacing w:before="240"/>
        <w:jc w:val="both"/>
        <w:rPr>
          <w:rFonts w:asciiTheme="minorHAnsi" w:hAnsiTheme="minorHAnsi"/>
          <w:bCs/>
          <w:color w:val="000000" w:themeColor="text1"/>
          <w:sz w:val="22"/>
          <w:szCs w:val="22"/>
        </w:rPr>
      </w:pPr>
      <w:r>
        <w:rPr>
          <w:rFonts w:asciiTheme="minorHAnsi" w:hAnsiTheme="minorHAnsi"/>
          <w:b/>
          <w:bCs/>
          <w:color w:val="000000" w:themeColor="text1"/>
          <w:sz w:val="22"/>
          <w:szCs w:val="22"/>
        </w:rPr>
        <w:t xml:space="preserve">Izdvojena novčana sredstva (šifra 112) </w:t>
      </w:r>
      <w:r w:rsidRPr="00E60551">
        <w:rPr>
          <w:rFonts w:asciiTheme="minorHAnsi" w:hAnsiTheme="minorHAnsi"/>
          <w:bCs/>
          <w:color w:val="000000" w:themeColor="text1"/>
          <w:sz w:val="22"/>
          <w:szCs w:val="22"/>
        </w:rPr>
        <w:t xml:space="preserve">u iznosu </w:t>
      </w:r>
      <w:r>
        <w:rPr>
          <w:rFonts w:asciiTheme="minorHAnsi" w:hAnsiTheme="minorHAnsi"/>
          <w:bCs/>
          <w:color w:val="000000" w:themeColor="text1"/>
          <w:sz w:val="22"/>
          <w:szCs w:val="22"/>
        </w:rPr>
        <w:t>od 61,67 €</w:t>
      </w:r>
    </w:p>
    <w:p w:rsidR="00345C4A" w:rsidRPr="00524C7A" w:rsidRDefault="00345C4A" w:rsidP="00524C7A">
      <w:pPr>
        <w:tabs>
          <w:tab w:val="left" w:pos="1170"/>
        </w:tabs>
        <w:spacing w:before="240"/>
        <w:jc w:val="both"/>
        <w:rPr>
          <w:rFonts w:asciiTheme="minorHAnsi" w:hAnsiTheme="minorHAnsi"/>
          <w:bCs/>
          <w:color w:val="000000" w:themeColor="text1"/>
          <w:sz w:val="22"/>
          <w:szCs w:val="22"/>
        </w:rPr>
      </w:pPr>
      <w:r w:rsidRPr="00A06229">
        <w:rPr>
          <w:rFonts w:asciiTheme="minorHAnsi" w:hAnsiTheme="minorHAnsi"/>
          <w:b/>
          <w:bCs/>
          <w:color w:val="000000" w:themeColor="text1"/>
          <w:sz w:val="22"/>
          <w:szCs w:val="22"/>
        </w:rPr>
        <w:t xml:space="preserve">Depoziti, jamčevni polozi i potraživanja od zaposlenih te za više plaćene poreze i ostalo (šifra 12) </w:t>
      </w:r>
      <w:r w:rsidRPr="00A06229">
        <w:rPr>
          <w:rFonts w:asciiTheme="minorHAnsi" w:hAnsiTheme="minorHAnsi"/>
          <w:bCs/>
          <w:color w:val="000000" w:themeColor="text1"/>
          <w:sz w:val="22"/>
          <w:szCs w:val="22"/>
        </w:rPr>
        <w:t xml:space="preserve">iznose </w:t>
      </w:r>
      <w:r w:rsidR="00A06229">
        <w:rPr>
          <w:rFonts w:asciiTheme="minorHAnsi" w:hAnsiTheme="minorHAnsi"/>
          <w:bCs/>
          <w:color w:val="000000" w:themeColor="text1"/>
          <w:sz w:val="22"/>
          <w:szCs w:val="22"/>
        </w:rPr>
        <w:t>69.474,26</w:t>
      </w:r>
      <w:r w:rsidRPr="00A06229">
        <w:rPr>
          <w:rFonts w:asciiTheme="minorHAnsi" w:hAnsiTheme="minorHAnsi"/>
          <w:bCs/>
          <w:color w:val="000000" w:themeColor="text1"/>
          <w:sz w:val="22"/>
          <w:szCs w:val="22"/>
        </w:rPr>
        <w:t xml:space="preserve"> </w:t>
      </w:r>
      <w:r w:rsidR="007F1618" w:rsidRPr="00A06229">
        <w:rPr>
          <w:rFonts w:asciiTheme="minorHAnsi" w:hAnsiTheme="minorHAnsi"/>
          <w:bCs/>
          <w:color w:val="000000" w:themeColor="text1"/>
          <w:sz w:val="22"/>
          <w:szCs w:val="22"/>
        </w:rPr>
        <w:t>€</w:t>
      </w:r>
      <w:r w:rsidRPr="00A06229">
        <w:rPr>
          <w:rFonts w:asciiTheme="minorHAnsi" w:hAnsiTheme="minorHAnsi"/>
          <w:bCs/>
          <w:color w:val="000000" w:themeColor="text1"/>
          <w:sz w:val="22"/>
          <w:szCs w:val="22"/>
        </w:rPr>
        <w:t xml:space="preserve"> što predstavlja </w:t>
      </w:r>
      <w:r w:rsidR="00A06229">
        <w:rPr>
          <w:rFonts w:asciiTheme="minorHAnsi" w:hAnsiTheme="minorHAnsi"/>
          <w:bCs/>
          <w:color w:val="000000" w:themeColor="text1"/>
          <w:sz w:val="22"/>
          <w:szCs w:val="22"/>
        </w:rPr>
        <w:t>smanjenje</w:t>
      </w:r>
      <w:r w:rsidRPr="00A06229">
        <w:rPr>
          <w:rFonts w:asciiTheme="minorHAnsi" w:hAnsiTheme="minorHAnsi"/>
          <w:bCs/>
          <w:color w:val="000000" w:themeColor="text1"/>
          <w:sz w:val="22"/>
          <w:szCs w:val="22"/>
        </w:rPr>
        <w:t xml:space="preserve"> od </w:t>
      </w:r>
      <w:r w:rsidR="00A06229">
        <w:rPr>
          <w:rFonts w:asciiTheme="minorHAnsi" w:hAnsiTheme="minorHAnsi"/>
          <w:bCs/>
          <w:color w:val="000000" w:themeColor="text1"/>
          <w:sz w:val="22"/>
          <w:szCs w:val="22"/>
        </w:rPr>
        <w:t>46,9</w:t>
      </w:r>
      <w:r w:rsidRPr="00A06229">
        <w:rPr>
          <w:rFonts w:asciiTheme="minorHAnsi" w:hAnsiTheme="minorHAnsi"/>
          <w:bCs/>
          <w:color w:val="000000" w:themeColor="text1"/>
          <w:sz w:val="22"/>
          <w:szCs w:val="22"/>
        </w:rPr>
        <w:t xml:space="preserve">% u odnosu na početak godine, najvećim dijelom zbog  </w:t>
      </w:r>
      <w:r w:rsidR="00A06229">
        <w:rPr>
          <w:rFonts w:asciiTheme="minorHAnsi" w:hAnsiTheme="minorHAnsi"/>
          <w:bCs/>
          <w:color w:val="000000" w:themeColor="text1"/>
          <w:sz w:val="22"/>
          <w:szCs w:val="22"/>
        </w:rPr>
        <w:t xml:space="preserve">povrata sredstava od Dječjeg vrtića Viškovo za uređenje okoliša </w:t>
      </w:r>
      <w:r w:rsidR="00A06229" w:rsidRPr="00A06229">
        <w:rPr>
          <w:rFonts w:asciiTheme="minorHAnsi" w:hAnsiTheme="minorHAnsi"/>
          <w:b/>
          <w:bCs/>
          <w:color w:val="000000" w:themeColor="text1"/>
          <w:sz w:val="22"/>
          <w:szCs w:val="22"/>
        </w:rPr>
        <w:t>(šifra 129)</w:t>
      </w:r>
      <w:r w:rsidR="00A06229">
        <w:rPr>
          <w:rFonts w:asciiTheme="minorHAnsi" w:hAnsiTheme="minorHAnsi"/>
          <w:bCs/>
          <w:color w:val="000000" w:themeColor="text1"/>
          <w:sz w:val="22"/>
          <w:szCs w:val="22"/>
        </w:rPr>
        <w:t xml:space="preserve"> .</w:t>
      </w:r>
      <w:r w:rsidRPr="00A06229">
        <w:rPr>
          <w:rFonts w:asciiTheme="minorHAnsi" w:hAnsiTheme="minorHAnsi"/>
          <w:bCs/>
          <w:color w:val="000000" w:themeColor="text1"/>
          <w:sz w:val="22"/>
          <w:szCs w:val="22"/>
        </w:rPr>
        <w:t xml:space="preserve"> Depoziti u tuzemnim institucijama </w:t>
      </w:r>
      <w:r w:rsidRPr="00A06229">
        <w:rPr>
          <w:rFonts w:asciiTheme="minorHAnsi" w:hAnsiTheme="minorHAnsi"/>
          <w:b/>
          <w:bCs/>
          <w:color w:val="000000" w:themeColor="text1"/>
          <w:sz w:val="22"/>
          <w:szCs w:val="22"/>
        </w:rPr>
        <w:t>(</w:t>
      </w:r>
      <w:r w:rsidRPr="00A06229">
        <w:rPr>
          <w:rFonts w:asciiTheme="minorHAnsi" w:hAnsiTheme="minorHAnsi"/>
          <w:b/>
          <w:color w:val="000000" w:themeColor="text1"/>
          <w:sz w:val="22"/>
          <w:szCs w:val="22"/>
        </w:rPr>
        <w:t>šifra 1211</w:t>
      </w:r>
      <w:r w:rsidRPr="00A06229">
        <w:rPr>
          <w:rFonts w:asciiTheme="minorHAnsi" w:hAnsiTheme="minorHAnsi"/>
          <w:b/>
          <w:bCs/>
          <w:color w:val="000000" w:themeColor="text1"/>
          <w:sz w:val="22"/>
          <w:szCs w:val="22"/>
        </w:rPr>
        <w:t xml:space="preserve">) </w:t>
      </w:r>
      <w:r w:rsidRPr="00A06229">
        <w:rPr>
          <w:rFonts w:asciiTheme="minorHAnsi" w:hAnsiTheme="minorHAnsi"/>
          <w:bCs/>
          <w:color w:val="000000" w:themeColor="text1"/>
          <w:sz w:val="22"/>
          <w:szCs w:val="22"/>
        </w:rPr>
        <w:t xml:space="preserve"> odnose se na depozite u banci za odobrene poduzetničke kredite u iznosu od </w:t>
      </w:r>
      <w:r w:rsidR="00A06229">
        <w:rPr>
          <w:rFonts w:asciiTheme="minorHAnsi" w:hAnsiTheme="minorHAnsi"/>
          <w:bCs/>
          <w:color w:val="000000" w:themeColor="text1"/>
          <w:sz w:val="22"/>
          <w:szCs w:val="22"/>
        </w:rPr>
        <w:t>62.511,18</w:t>
      </w:r>
      <w:r w:rsidRPr="00A06229">
        <w:rPr>
          <w:rFonts w:asciiTheme="minorHAnsi" w:hAnsiTheme="minorHAnsi"/>
          <w:bCs/>
          <w:color w:val="000000" w:themeColor="text1"/>
          <w:sz w:val="22"/>
          <w:szCs w:val="22"/>
        </w:rPr>
        <w:t xml:space="preserve"> </w:t>
      </w:r>
      <w:r w:rsidR="007F1618" w:rsidRPr="00A06229">
        <w:rPr>
          <w:rFonts w:asciiTheme="minorHAnsi" w:hAnsiTheme="minorHAnsi"/>
          <w:bCs/>
          <w:color w:val="000000" w:themeColor="text1"/>
          <w:sz w:val="22"/>
          <w:szCs w:val="22"/>
        </w:rPr>
        <w:t>€</w:t>
      </w:r>
      <w:r w:rsidR="00A06229">
        <w:rPr>
          <w:rFonts w:asciiTheme="minorHAnsi" w:hAnsiTheme="minorHAnsi"/>
          <w:bCs/>
          <w:color w:val="000000" w:themeColor="text1"/>
          <w:sz w:val="22"/>
          <w:szCs w:val="22"/>
        </w:rPr>
        <w:t>.</w:t>
      </w:r>
    </w:p>
    <w:p w:rsidR="00345C4A" w:rsidRPr="00524C7A" w:rsidRDefault="00345C4A" w:rsidP="00524C7A">
      <w:pPr>
        <w:tabs>
          <w:tab w:val="left" w:pos="1170"/>
        </w:tabs>
        <w:spacing w:before="240"/>
        <w:jc w:val="both"/>
        <w:rPr>
          <w:rFonts w:asciiTheme="minorHAnsi" w:hAnsiTheme="minorHAnsi"/>
          <w:bCs/>
          <w:color w:val="000000" w:themeColor="text1"/>
          <w:sz w:val="22"/>
          <w:szCs w:val="22"/>
        </w:rPr>
      </w:pPr>
      <w:r w:rsidRPr="00524C7A">
        <w:rPr>
          <w:rFonts w:asciiTheme="minorHAnsi" w:hAnsiTheme="minorHAnsi"/>
          <w:b/>
          <w:bCs/>
          <w:color w:val="000000" w:themeColor="text1"/>
          <w:sz w:val="22"/>
          <w:szCs w:val="22"/>
        </w:rPr>
        <w:t>Potraživanja za dane zajmove (</w:t>
      </w:r>
      <w:r w:rsidRPr="00524C7A">
        <w:rPr>
          <w:rFonts w:asciiTheme="minorHAnsi" w:hAnsiTheme="minorHAnsi"/>
          <w:b/>
          <w:color w:val="000000" w:themeColor="text1"/>
          <w:sz w:val="22"/>
          <w:szCs w:val="22"/>
        </w:rPr>
        <w:t>šifra 13</w:t>
      </w:r>
      <w:r w:rsidRPr="00524C7A">
        <w:rPr>
          <w:rFonts w:asciiTheme="minorHAnsi" w:hAnsiTheme="minorHAnsi"/>
          <w:b/>
          <w:bCs/>
          <w:color w:val="000000" w:themeColor="text1"/>
          <w:sz w:val="22"/>
          <w:szCs w:val="22"/>
        </w:rPr>
        <w:t xml:space="preserve">) </w:t>
      </w:r>
      <w:r w:rsidRPr="00524C7A">
        <w:rPr>
          <w:rFonts w:asciiTheme="minorHAnsi" w:hAnsiTheme="minorHAnsi"/>
          <w:bCs/>
          <w:color w:val="000000" w:themeColor="text1"/>
          <w:sz w:val="22"/>
          <w:szCs w:val="22"/>
        </w:rPr>
        <w:t xml:space="preserve">iznose </w:t>
      </w:r>
      <w:r w:rsidR="00524C7A">
        <w:rPr>
          <w:rFonts w:asciiTheme="minorHAnsi" w:hAnsiTheme="minorHAnsi"/>
          <w:bCs/>
          <w:color w:val="000000" w:themeColor="text1"/>
          <w:sz w:val="22"/>
          <w:szCs w:val="22"/>
        </w:rPr>
        <w:t>55.130,97 €</w:t>
      </w:r>
      <w:r w:rsidRPr="00524C7A">
        <w:rPr>
          <w:rFonts w:asciiTheme="minorHAnsi" w:hAnsiTheme="minorHAnsi"/>
          <w:bCs/>
          <w:color w:val="000000" w:themeColor="text1"/>
          <w:sz w:val="22"/>
          <w:szCs w:val="22"/>
        </w:rPr>
        <w:t xml:space="preserve"> što je </w:t>
      </w:r>
      <w:r w:rsidR="00524C7A">
        <w:rPr>
          <w:rFonts w:asciiTheme="minorHAnsi" w:hAnsiTheme="minorHAnsi"/>
          <w:bCs/>
          <w:color w:val="000000" w:themeColor="text1"/>
          <w:sz w:val="22"/>
          <w:szCs w:val="22"/>
        </w:rPr>
        <w:t>0,5</w:t>
      </w:r>
      <w:r w:rsidRPr="00524C7A">
        <w:rPr>
          <w:rFonts w:asciiTheme="minorHAnsi" w:hAnsiTheme="minorHAnsi"/>
          <w:bCs/>
          <w:color w:val="000000" w:themeColor="text1"/>
          <w:sz w:val="22"/>
          <w:szCs w:val="22"/>
        </w:rPr>
        <w:t xml:space="preserve">% manje u odnosu na početno stanje, a odnosi se na neutrošena razvojna sredstva koja KD Čistoća naplaćuje u okviru cijene komunalnih usluga na području općine i koja namjenski troši za potrebe razvoja svoje komunalne djelatnosti. Naplaćena razvojna sredstva i njihov utrošak evidentiraju se u skladu sa Zakonom o komunalnom gospodarstvu kao prihod, odnosno rashod jedinice lokalne samouprave na čijem se području isporučuje komunalna usluga, dok se neutrošeni iznos razvojnih sredstava evidentira kao potraživanje za dani zajam i prenosi u sljedeće izvještajno razdoblje. </w:t>
      </w:r>
    </w:p>
    <w:p w:rsidR="00345C4A" w:rsidRDefault="00345C4A" w:rsidP="00524C7A">
      <w:pPr>
        <w:tabs>
          <w:tab w:val="left" w:pos="1170"/>
        </w:tabs>
        <w:spacing w:before="240"/>
        <w:jc w:val="both"/>
        <w:rPr>
          <w:rFonts w:asciiTheme="minorHAnsi" w:hAnsiTheme="minorHAnsi"/>
          <w:bCs/>
          <w:color w:val="000000" w:themeColor="text1"/>
          <w:sz w:val="22"/>
          <w:szCs w:val="22"/>
        </w:rPr>
      </w:pPr>
      <w:r w:rsidRPr="00524C7A">
        <w:rPr>
          <w:rFonts w:asciiTheme="minorHAnsi" w:hAnsiTheme="minorHAnsi"/>
          <w:b/>
          <w:bCs/>
          <w:color w:val="000000" w:themeColor="text1"/>
          <w:sz w:val="22"/>
          <w:szCs w:val="22"/>
        </w:rPr>
        <w:t>Dionice i udjeli u glavnici (</w:t>
      </w:r>
      <w:r w:rsidRPr="00524C7A">
        <w:rPr>
          <w:rFonts w:asciiTheme="minorHAnsi" w:hAnsiTheme="minorHAnsi"/>
          <w:b/>
          <w:color w:val="000000" w:themeColor="text1"/>
          <w:sz w:val="22"/>
          <w:szCs w:val="22"/>
        </w:rPr>
        <w:t>šifra 15</w:t>
      </w:r>
      <w:r w:rsidRPr="00524C7A">
        <w:rPr>
          <w:rFonts w:asciiTheme="minorHAnsi" w:hAnsiTheme="minorHAnsi"/>
          <w:b/>
          <w:bCs/>
          <w:color w:val="000000" w:themeColor="text1"/>
          <w:sz w:val="22"/>
          <w:szCs w:val="22"/>
        </w:rPr>
        <w:t xml:space="preserve">) </w:t>
      </w:r>
      <w:r w:rsidRPr="00524C7A">
        <w:rPr>
          <w:rFonts w:asciiTheme="minorHAnsi" w:hAnsiTheme="minorHAnsi"/>
          <w:bCs/>
          <w:color w:val="000000" w:themeColor="text1"/>
          <w:sz w:val="22"/>
          <w:szCs w:val="22"/>
        </w:rPr>
        <w:t xml:space="preserve">iznose ukupno </w:t>
      </w:r>
      <w:r w:rsidR="00524C7A">
        <w:rPr>
          <w:rFonts w:asciiTheme="minorHAnsi" w:hAnsiTheme="minorHAnsi"/>
          <w:bCs/>
          <w:color w:val="000000" w:themeColor="text1"/>
          <w:sz w:val="22"/>
          <w:szCs w:val="22"/>
        </w:rPr>
        <w:t>3.215.838,68</w:t>
      </w:r>
      <w:r w:rsidRPr="00524C7A">
        <w:rPr>
          <w:rFonts w:asciiTheme="minorHAnsi" w:hAnsiTheme="minorHAnsi"/>
          <w:bCs/>
          <w:color w:val="000000" w:themeColor="text1"/>
          <w:sz w:val="22"/>
          <w:szCs w:val="22"/>
        </w:rPr>
        <w:t xml:space="preserve"> </w:t>
      </w:r>
      <w:r w:rsidR="007F1618" w:rsidRPr="00524C7A">
        <w:rPr>
          <w:rFonts w:asciiTheme="minorHAnsi" w:hAnsiTheme="minorHAnsi"/>
          <w:bCs/>
          <w:color w:val="000000" w:themeColor="text1"/>
          <w:sz w:val="22"/>
          <w:szCs w:val="22"/>
        </w:rPr>
        <w:t>€</w:t>
      </w:r>
      <w:r w:rsidRPr="00524C7A">
        <w:rPr>
          <w:rFonts w:asciiTheme="minorHAnsi" w:hAnsiTheme="minorHAnsi"/>
          <w:bCs/>
          <w:color w:val="000000" w:themeColor="text1"/>
          <w:sz w:val="22"/>
          <w:szCs w:val="22"/>
        </w:rPr>
        <w:t>. Udjeli se odnose na sljedeće:</w:t>
      </w:r>
    </w:p>
    <w:p w:rsidR="00524C7A" w:rsidRPr="00524C7A" w:rsidRDefault="00524C7A" w:rsidP="00524C7A">
      <w:pPr>
        <w:tabs>
          <w:tab w:val="left" w:pos="1170"/>
        </w:tabs>
        <w:spacing w:before="240"/>
        <w:jc w:val="both"/>
        <w:rPr>
          <w:rFonts w:asciiTheme="minorHAnsi" w:hAnsiTheme="minorHAnsi"/>
          <w:bCs/>
          <w:color w:val="000000" w:themeColor="text1"/>
          <w:sz w:val="22"/>
          <w:szCs w:val="22"/>
        </w:rPr>
      </w:pPr>
    </w:p>
    <w:p w:rsidR="00345C4A" w:rsidRDefault="00345C4A" w:rsidP="00345C4A">
      <w:pPr>
        <w:pStyle w:val="Odlomakpopisa"/>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Udio u glavnici KD-a “Vodovod i kanalizacija” u iznosu od </w:t>
      </w:r>
      <w:r w:rsidR="00524C7A">
        <w:rPr>
          <w:rFonts w:asciiTheme="minorHAnsi" w:hAnsiTheme="minorHAnsi"/>
          <w:color w:val="000000" w:themeColor="text1"/>
          <w:sz w:val="22"/>
          <w:szCs w:val="22"/>
        </w:rPr>
        <w:t>2.540.553,45</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w:t>
      </w:r>
    </w:p>
    <w:p w:rsidR="00345C4A" w:rsidRDefault="00345C4A" w:rsidP="00345C4A">
      <w:pPr>
        <w:pStyle w:val="Odlomakpopisa"/>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6B47A9">
        <w:rPr>
          <w:rFonts w:asciiTheme="minorHAnsi" w:hAnsiTheme="minorHAnsi"/>
          <w:color w:val="000000" w:themeColor="text1"/>
          <w:sz w:val="22"/>
          <w:szCs w:val="22"/>
        </w:rPr>
        <w:t xml:space="preserve">Udio u glavnici KD-a “Čistoća” u iznosu od </w:t>
      </w:r>
      <w:r w:rsidR="00524C7A">
        <w:rPr>
          <w:rFonts w:asciiTheme="minorHAnsi" w:hAnsiTheme="minorHAnsi"/>
          <w:color w:val="000000" w:themeColor="text1"/>
          <w:sz w:val="22"/>
          <w:szCs w:val="22"/>
        </w:rPr>
        <w:t>76.116,53</w:t>
      </w:r>
      <w:r w:rsidRPr="006B47A9">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6B47A9">
        <w:rPr>
          <w:rFonts w:asciiTheme="minorHAnsi" w:hAnsiTheme="minorHAnsi"/>
          <w:color w:val="000000" w:themeColor="text1"/>
          <w:sz w:val="22"/>
          <w:szCs w:val="22"/>
        </w:rPr>
        <w:t>;</w:t>
      </w:r>
    </w:p>
    <w:p w:rsidR="00345C4A" w:rsidRDefault="00345C4A" w:rsidP="00345C4A">
      <w:pPr>
        <w:pStyle w:val="Odlomakpopisa"/>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6B47A9">
        <w:rPr>
          <w:rFonts w:asciiTheme="minorHAnsi" w:hAnsiTheme="minorHAnsi"/>
          <w:color w:val="000000" w:themeColor="text1"/>
          <w:sz w:val="22"/>
          <w:szCs w:val="22"/>
        </w:rPr>
        <w:t xml:space="preserve">Udio u glavnici KD-a “Autotrolej” u iznosu od </w:t>
      </w:r>
      <w:r w:rsidR="00524C7A">
        <w:rPr>
          <w:rFonts w:asciiTheme="minorHAnsi" w:hAnsiTheme="minorHAnsi"/>
          <w:color w:val="000000" w:themeColor="text1"/>
          <w:sz w:val="22"/>
          <w:szCs w:val="22"/>
        </w:rPr>
        <w:t>39.777,03</w:t>
      </w:r>
      <w:r w:rsidRPr="006B47A9">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6B47A9">
        <w:rPr>
          <w:rFonts w:asciiTheme="minorHAnsi" w:hAnsiTheme="minorHAnsi"/>
          <w:color w:val="000000" w:themeColor="text1"/>
          <w:sz w:val="22"/>
          <w:szCs w:val="22"/>
        </w:rPr>
        <w:t>;</w:t>
      </w:r>
    </w:p>
    <w:p w:rsidR="00345C4A" w:rsidRDefault="00345C4A" w:rsidP="00345C4A">
      <w:pPr>
        <w:pStyle w:val="Odlomakpopisa"/>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Udio u glavnici  Centra za brdsko-planinsku poljoprivredu u iznosu </w:t>
      </w:r>
      <w:r w:rsidR="00524C7A">
        <w:rPr>
          <w:rFonts w:asciiTheme="minorHAnsi" w:hAnsiTheme="minorHAnsi"/>
          <w:color w:val="000000" w:themeColor="text1"/>
          <w:sz w:val="22"/>
          <w:szCs w:val="22"/>
        </w:rPr>
        <w:t>530,89</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w:t>
      </w:r>
    </w:p>
    <w:p w:rsidR="00345C4A" w:rsidRDefault="00345C4A" w:rsidP="00345C4A">
      <w:pPr>
        <w:pStyle w:val="Odlomakpopisa"/>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Udio u glavnici  TD-a Ekoplus d.o.o. u iznosu od </w:t>
      </w:r>
      <w:r w:rsidR="00524C7A">
        <w:rPr>
          <w:rFonts w:asciiTheme="minorHAnsi" w:hAnsiTheme="minorHAnsi"/>
          <w:color w:val="000000" w:themeColor="text1"/>
          <w:sz w:val="22"/>
          <w:szCs w:val="22"/>
        </w:rPr>
        <w:t>519.052,36</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w:t>
      </w:r>
    </w:p>
    <w:p w:rsidR="00345C4A" w:rsidRDefault="00345C4A" w:rsidP="00345C4A">
      <w:pPr>
        <w:pStyle w:val="Odlomakpopisa"/>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Udio u glavnici KD-a Viškovo u iznosu od </w:t>
      </w:r>
      <w:r w:rsidR="00524C7A">
        <w:rPr>
          <w:rFonts w:asciiTheme="minorHAnsi" w:hAnsiTheme="minorHAnsi"/>
          <w:color w:val="000000" w:themeColor="text1"/>
          <w:sz w:val="22"/>
          <w:szCs w:val="22"/>
        </w:rPr>
        <w:t>19.908,42</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w:t>
      </w:r>
      <w:r w:rsidRPr="00D72FC0">
        <w:rPr>
          <w:rFonts w:asciiTheme="minorHAnsi" w:hAnsiTheme="minorHAnsi"/>
          <w:color w:val="000000" w:themeColor="text1"/>
          <w:sz w:val="22"/>
          <w:szCs w:val="22"/>
        </w:rPr>
        <w:tab/>
        <w:t xml:space="preserve">  </w:t>
      </w:r>
    </w:p>
    <w:p w:rsidR="00524C7A" w:rsidRPr="006A5137" w:rsidRDefault="00524C7A" w:rsidP="00345C4A">
      <w:pPr>
        <w:pStyle w:val="Odlomakpopisa"/>
        <w:rPr>
          <w:rFonts w:asciiTheme="minorHAnsi" w:hAnsiTheme="minorHAnsi"/>
          <w:color w:val="000000" w:themeColor="text1"/>
          <w:sz w:val="22"/>
          <w:szCs w:val="22"/>
        </w:rPr>
      </w:pPr>
      <w:r>
        <w:rPr>
          <w:rFonts w:asciiTheme="minorHAnsi" w:hAnsiTheme="minorHAnsi"/>
          <w:color w:val="000000" w:themeColor="text1"/>
          <w:sz w:val="22"/>
          <w:szCs w:val="22"/>
        </w:rPr>
        <w:t>- Udio u glavnici KD Kastav-Viškovo u iznosu od 19.900,00 €</w:t>
      </w:r>
    </w:p>
    <w:p w:rsidR="00345C4A" w:rsidRPr="00D72FC0" w:rsidRDefault="00345C4A" w:rsidP="00345C4A">
      <w:pPr>
        <w:pStyle w:val="Odlomakpopisa"/>
        <w:rPr>
          <w:rFonts w:asciiTheme="minorHAnsi" w:hAnsiTheme="minorHAnsi"/>
          <w:color w:val="000000" w:themeColor="text1"/>
          <w:sz w:val="22"/>
          <w:szCs w:val="22"/>
        </w:rPr>
      </w:pPr>
      <w:r w:rsidRPr="00D72FC0">
        <w:rPr>
          <w:rFonts w:asciiTheme="minorHAnsi" w:hAnsiTheme="minorHAnsi"/>
          <w:color w:val="000000" w:themeColor="text1"/>
          <w:sz w:val="22"/>
          <w:szCs w:val="22"/>
        </w:rPr>
        <w:t xml:space="preserve">                                                                                                            </w:t>
      </w:r>
    </w:p>
    <w:p w:rsidR="00345C4A" w:rsidRPr="00524C7A" w:rsidRDefault="00345C4A" w:rsidP="00524C7A">
      <w:pPr>
        <w:tabs>
          <w:tab w:val="left" w:pos="426"/>
        </w:tabs>
        <w:spacing w:before="240"/>
        <w:jc w:val="both"/>
        <w:rPr>
          <w:rFonts w:asciiTheme="minorHAnsi" w:hAnsiTheme="minorHAnsi"/>
          <w:b/>
          <w:color w:val="000000" w:themeColor="text1"/>
          <w:sz w:val="22"/>
          <w:szCs w:val="22"/>
        </w:rPr>
      </w:pPr>
      <w:r w:rsidRPr="00524C7A">
        <w:rPr>
          <w:rFonts w:asciiTheme="minorHAnsi" w:hAnsiTheme="minorHAnsi"/>
          <w:b/>
          <w:bCs/>
          <w:sz w:val="22"/>
          <w:szCs w:val="22"/>
        </w:rPr>
        <w:t xml:space="preserve">Potraživanja za prihode poslovanja </w:t>
      </w:r>
      <w:r w:rsidRPr="00524C7A">
        <w:rPr>
          <w:rFonts w:asciiTheme="minorHAnsi" w:hAnsiTheme="minorHAnsi"/>
          <w:b/>
          <w:bCs/>
          <w:color w:val="000000" w:themeColor="text1"/>
          <w:sz w:val="22"/>
          <w:szCs w:val="22"/>
        </w:rPr>
        <w:t>(</w:t>
      </w:r>
      <w:r w:rsidRPr="00524C7A">
        <w:rPr>
          <w:rFonts w:asciiTheme="minorHAnsi" w:hAnsiTheme="minorHAnsi"/>
          <w:b/>
          <w:color w:val="000000" w:themeColor="text1"/>
          <w:sz w:val="22"/>
          <w:szCs w:val="22"/>
        </w:rPr>
        <w:t>šifra 16</w:t>
      </w:r>
      <w:r w:rsidRPr="00524C7A">
        <w:rPr>
          <w:rFonts w:asciiTheme="minorHAnsi" w:hAnsiTheme="minorHAnsi"/>
          <w:b/>
          <w:bCs/>
          <w:color w:val="000000" w:themeColor="text1"/>
          <w:sz w:val="22"/>
          <w:szCs w:val="22"/>
        </w:rPr>
        <w:t xml:space="preserve">) </w:t>
      </w:r>
      <w:r w:rsidR="00524C7A">
        <w:rPr>
          <w:rFonts w:asciiTheme="minorHAnsi" w:hAnsiTheme="minorHAnsi"/>
          <w:bCs/>
          <w:sz w:val="22"/>
          <w:szCs w:val="22"/>
        </w:rPr>
        <w:t>smanjena su za 6,5</w:t>
      </w:r>
      <w:r w:rsidRPr="00524C7A">
        <w:rPr>
          <w:rFonts w:asciiTheme="minorHAnsi" w:hAnsiTheme="minorHAnsi"/>
          <w:bCs/>
          <w:sz w:val="22"/>
          <w:szCs w:val="22"/>
        </w:rPr>
        <w:t xml:space="preserve">% u odnosu na početno </w:t>
      </w:r>
      <w:r w:rsidRPr="00524C7A">
        <w:rPr>
          <w:rFonts w:asciiTheme="minorHAnsi" w:hAnsiTheme="minorHAnsi"/>
          <w:bCs/>
          <w:color w:val="000000" w:themeColor="text1"/>
          <w:sz w:val="22"/>
          <w:szCs w:val="22"/>
        </w:rPr>
        <w:t xml:space="preserve">stanje i iznose </w:t>
      </w:r>
      <w:r w:rsidR="00524C7A">
        <w:rPr>
          <w:rFonts w:asciiTheme="minorHAnsi" w:hAnsiTheme="minorHAnsi"/>
          <w:bCs/>
          <w:color w:val="000000" w:themeColor="text1"/>
          <w:sz w:val="22"/>
          <w:szCs w:val="22"/>
        </w:rPr>
        <w:t>323.585,10</w:t>
      </w:r>
      <w:r w:rsidRPr="00524C7A">
        <w:rPr>
          <w:rFonts w:asciiTheme="minorHAnsi" w:hAnsiTheme="minorHAnsi"/>
          <w:bCs/>
          <w:color w:val="000000" w:themeColor="text1"/>
          <w:sz w:val="22"/>
          <w:szCs w:val="22"/>
        </w:rPr>
        <w:t xml:space="preserve"> </w:t>
      </w:r>
      <w:r w:rsidR="007F1618" w:rsidRPr="00524C7A">
        <w:rPr>
          <w:rFonts w:asciiTheme="minorHAnsi" w:hAnsiTheme="minorHAnsi"/>
          <w:bCs/>
          <w:color w:val="000000" w:themeColor="text1"/>
          <w:sz w:val="22"/>
          <w:szCs w:val="22"/>
        </w:rPr>
        <w:t>€</w:t>
      </w:r>
      <w:r w:rsidRPr="00524C7A">
        <w:rPr>
          <w:rFonts w:asciiTheme="minorHAnsi" w:hAnsiTheme="minorHAnsi"/>
          <w:bCs/>
          <w:color w:val="000000" w:themeColor="text1"/>
          <w:sz w:val="22"/>
          <w:szCs w:val="22"/>
        </w:rPr>
        <w:t xml:space="preserve">. Do </w:t>
      </w:r>
      <w:r w:rsidR="00524C7A">
        <w:rPr>
          <w:rFonts w:asciiTheme="minorHAnsi" w:hAnsiTheme="minorHAnsi"/>
          <w:bCs/>
          <w:color w:val="000000" w:themeColor="text1"/>
          <w:sz w:val="22"/>
          <w:szCs w:val="22"/>
        </w:rPr>
        <w:t>smanjenja</w:t>
      </w:r>
      <w:r w:rsidRPr="00524C7A">
        <w:rPr>
          <w:rFonts w:asciiTheme="minorHAnsi" w:hAnsiTheme="minorHAnsi"/>
          <w:bCs/>
          <w:color w:val="000000" w:themeColor="text1"/>
          <w:sz w:val="22"/>
          <w:szCs w:val="22"/>
        </w:rPr>
        <w:t xml:space="preserve"> je došlo zbog </w:t>
      </w:r>
      <w:r w:rsidR="005503E2">
        <w:rPr>
          <w:rFonts w:asciiTheme="minorHAnsi" w:hAnsiTheme="minorHAnsi"/>
          <w:bCs/>
          <w:color w:val="000000" w:themeColor="text1"/>
          <w:sz w:val="22"/>
          <w:szCs w:val="22"/>
        </w:rPr>
        <w:t xml:space="preserve">bolje naplate </w:t>
      </w:r>
      <w:r w:rsidRPr="00524C7A">
        <w:rPr>
          <w:rFonts w:asciiTheme="minorHAnsi" w:hAnsiTheme="minorHAnsi"/>
          <w:bCs/>
          <w:color w:val="000000" w:themeColor="text1"/>
          <w:sz w:val="22"/>
          <w:szCs w:val="22"/>
        </w:rPr>
        <w:t xml:space="preserve">potraživanja </w:t>
      </w:r>
      <w:r w:rsidR="00BE333E">
        <w:rPr>
          <w:rFonts w:asciiTheme="minorHAnsi" w:hAnsiTheme="minorHAnsi"/>
          <w:bCs/>
          <w:color w:val="000000" w:themeColor="text1"/>
          <w:sz w:val="22"/>
          <w:szCs w:val="22"/>
        </w:rPr>
        <w:t xml:space="preserve">(osim potraživanja za kazne) </w:t>
      </w:r>
      <w:r w:rsidRPr="00524C7A">
        <w:rPr>
          <w:rFonts w:asciiTheme="minorHAnsi" w:hAnsiTheme="minorHAnsi"/>
          <w:bCs/>
          <w:color w:val="000000" w:themeColor="text1"/>
          <w:sz w:val="22"/>
          <w:szCs w:val="22"/>
        </w:rPr>
        <w:t xml:space="preserve">za poreze </w:t>
      </w:r>
      <w:r w:rsidRPr="00524C7A">
        <w:rPr>
          <w:rFonts w:asciiTheme="minorHAnsi" w:hAnsiTheme="minorHAnsi"/>
          <w:b/>
          <w:bCs/>
          <w:color w:val="000000" w:themeColor="text1"/>
          <w:sz w:val="22"/>
          <w:szCs w:val="22"/>
        </w:rPr>
        <w:t>(</w:t>
      </w:r>
      <w:r w:rsidRPr="00524C7A">
        <w:rPr>
          <w:rFonts w:asciiTheme="minorHAnsi" w:hAnsiTheme="minorHAnsi"/>
          <w:b/>
          <w:color w:val="000000" w:themeColor="text1"/>
          <w:sz w:val="22"/>
          <w:szCs w:val="22"/>
        </w:rPr>
        <w:t>šifra 161</w:t>
      </w:r>
      <w:r w:rsidRPr="00524C7A">
        <w:rPr>
          <w:rFonts w:asciiTheme="minorHAnsi" w:hAnsiTheme="minorHAnsi"/>
          <w:b/>
          <w:bCs/>
          <w:color w:val="000000" w:themeColor="text1"/>
          <w:sz w:val="22"/>
          <w:szCs w:val="22"/>
        </w:rPr>
        <w:t>)</w:t>
      </w:r>
      <w:r w:rsidRPr="00524C7A">
        <w:rPr>
          <w:rFonts w:asciiTheme="minorHAnsi" w:hAnsiTheme="minorHAnsi"/>
          <w:bCs/>
          <w:color w:val="000000" w:themeColor="text1"/>
          <w:sz w:val="22"/>
          <w:szCs w:val="22"/>
        </w:rPr>
        <w:t xml:space="preserve"> koji iznose </w:t>
      </w:r>
      <w:r w:rsidR="005503E2">
        <w:rPr>
          <w:rFonts w:asciiTheme="minorHAnsi" w:hAnsiTheme="minorHAnsi"/>
          <w:bCs/>
          <w:color w:val="000000" w:themeColor="text1"/>
          <w:sz w:val="22"/>
          <w:szCs w:val="22"/>
        </w:rPr>
        <w:t>439.357,46</w:t>
      </w:r>
      <w:r w:rsidRPr="00524C7A">
        <w:rPr>
          <w:rFonts w:asciiTheme="minorHAnsi" w:hAnsiTheme="minorHAnsi"/>
          <w:bCs/>
          <w:color w:val="000000" w:themeColor="text1"/>
          <w:sz w:val="22"/>
          <w:szCs w:val="22"/>
        </w:rPr>
        <w:t xml:space="preserve"> </w:t>
      </w:r>
      <w:r w:rsidR="007F1618" w:rsidRPr="00524C7A">
        <w:rPr>
          <w:rFonts w:asciiTheme="minorHAnsi" w:hAnsiTheme="minorHAnsi"/>
          <w:bCs/>
          <w:color w:val="000000" w:themeColor="text1"/>
          <w:sz w:val="22"/>
          <w:szCs w:val="22"/>
        </w:rPr>
        <w:t>€</w:t>
      </w:r>
      <w:r w:rsidRPr="00524C7A">
        <w:rPr>
          <w:rFonts w:asciiTheme="minorHAnsi" w:hAnsiTheme="minorHAnsi"/>
          <w:bCs/>
          <w:color w:val="000000" w:themeColor="text1"/>
          <w:sz w:val="22"/>
          <w:szCs w:val="22"/>
        </w:rPr>
        <w:t xml:space="preserve">, a najvećim dijelom se odnose na potraživanja za porez na promet nekretnina koje je evidentirano na kraju izvještajne godine temeljem izvještaja Porezne uprave koja sukladno propisima vodi razrez, naplatu i evidenciju istog. Potraživanja za prihode od imovine imovine </w:t>
      </w:r>
      <w:r w:rsidRPr="00524C7A">
        <w:rPr>
          <w:rFonts w:asciiTheme="minorHAnsi" w:hAnsiTheme="minorHAnsi"/>
          <w:b/>
          <w:bCs/>
          <w:color w:val="000000" w:themeColor="text1"/>
          <w:sz w:val="22"/>
          <w:szCs w:val="22"/>
        </w:rPr>
        <w:t>(</w:t>
      </w:r>
      <w:r w:rsidRPr="00524C7A">
        <w:rPr>
          <w:rFonts w:asciiTheme="minorHAnsi" w:hAnsiTheme="minorHAnsi"/>
          <w:b/>
          <w:color w:val="000000" w:themeColor="text1"/>
          <w:sz w:val="22"/>
          <w:szCs w:val="22"/>
        </w:rPr>
        <w:t>šifra 164</w:t>
      </w:r>
      <w:r w:rsidRPr="00524C7A">
        <w:rPr>
          <w:rFonts w:asciiTheme="minorHAnsi" w:hAnsiTheme="minorHAnsi"/>
          <w:b/>
          <w:bCs/>
          <w:color w:val="000000" w:themeColor="text1"/>
          <w:sz w:val="22"/>
          <w:szCs w:val="22"/>
        </w:rPr>
        <w:t>)</w:t>
      </w:r>
      <w:r w:rsidRPr="00524C7A">
        <w:rPr>
          <w:rFonts w:asciiTheme="minorHAnsi" w:hAnsiTheme="minorHAnsi"/>
          <w:bCs/>
          <w:color w:val="000000" w:themeColor="text1"/>
          <w:sz w:val="22"/>
          <w:szCs w:val="22"/>
        </w:rPr>
        <w:t xml:space="preserve"> iznose </w:t>
      </w:r>
      <w:r w:rsidR="005503E2">
        <w:rPr>
          <w:rFonts w:asciiTheme="minorHAnsi" w:hAnsiTheme="minorHAnsi"/>
          <w:bCs/>
          <w:color w:val="000000" w:themeColor="text1"/>
          <w:sz w:val="22"/>
          <w:szCs w:val="22"/>
        </w:rPr>
        <w:t>13.426,48 €</w:t>
      </w:r>
      <w:r w:rsidRPr="00524C7A">
        <w:rPr>
          <w:rFonts w:asciiTheme="minorHAnsi" w:hAnsiTheme="minorHAnsi"/>
          <w:bCs/>
          <w:color w:val="000000" w:themeColor="text1"/>
          <w:sz w:val="22"/>
          <w:szCs w:val="22"/>
        </w:rPr>
        <w:t>, a odnose se na potraživanja za zatezne kamate, koncesije, zakup poslovnih prostora, zemljišta i opreme, za grobne na</w:t>
      </w:r>
      <w:r w:rsidR="005503E2">
        <w:rPr>
          <w:rFonts w:asciiTheme="minorHAnsi" w:hAnsiTheme="minorHAnsi"/>
          <w:bCs/>
          <w:color w:val="000000" w:themeColor="text1"/>
          <w:sz w:val="22"/>
          <w:szCs w:val="22"/>
        </w:rPr>
        <w:t>kn</w:t>
      </w:r>
      <w:r w:rsidRPr="00524C7A">
        <w:rPr>
          <w:rFonts w:asciiTheme="minorHAnsi" w:hAnsiTheme="minorHAnsi"/>
          <w:bCs/>
          <w:color w:val="000000" w:themeColor="text1"/>
          <w:sz w:val="22"/>
          <w:szCs w:val="22"/>
        </w:rPr>
        <w:t>ade te kamate za dane zajmove po osnovi obročne otplate komunalnog doprinosa. Potraživanja za upravne i administrativne pristojbe, pristojbe po posebnim propisima i na</w:t>
      </w:r>
      <w:r w:rsidR="005503E2">
        <w:rPr>
          <w:rFonts w:asciiTheme="minorHAnsi" w:hAnsiTheme="minorHAnsi"/>
          <w:bCs/>
          <w:color w:val="000000" w:themeColor="text1"/>
          <w:sz w:val="22"/>
          <w:szCs w:val="22"/>
        </w:rPr>
        <w:t>kn</w:t>
      </w:r>
      <w:r w:rsidRPr="00524C7A">
        <w:rPr>
          <w:rFonts w:asciiTheme="minorHAnsi" w:hAnsiTheme="minorHAnsi"/>
          <w:bCs/>
          <w:color w:val="000000" w:themeColor="text1"/>
          <w:sz w:val="22"/>
          <w:szCs w:val="22"/>
        </w:rPr>
        <w:t xml:space="preserve">ade </w:t>
      </w:r>
      <w:r w:rsidRPr="00524C7A">
        <w:rPr>
          <w:rFonts w:asciiTheme="minorHAnsi" w:hAnsiTheme="minorHAnsi"/>
          <w:b/>
          <w:bCs/>
          <w:color w:val="000000" w:themeColor="text1"/>
          <w:sz w:val="22"/>
          <w:szCs w:val="22"/>
        </w:rPr>
        <w:t>(</w:t>
      </w:r>
      <w:r w:rsidRPr="00524C7A">
        <w:rPr>
          <w:rFonts w:asciiTheme="minorHAnsi" w:hAnsiTheme="minorHAnsi"/>
          <w:b/>
          <w:color w:val="000000" w:themeColor="text1"/>
          <w:sz w:val="22"/>
          <w:szCs w:val="22"/>
        </w:rPr>
        <w:t>šifra 165</w:t>
      </w:r>
      <w:r w:rsidRPr="00524C7A">
        <w:rPr>
          <w:rFonts w:asciiTheme="minorHAnsi" w:hAnsiTheme="minorHAnsi"/>
          <w:b/>
          <w:bCs/>
          <w:color w:val="000000" w:themeColor="text1"/>
          <w:sz w:val="22"/>
          <w:szCs w:val="22"/>
        </w:rPr>
        <w:t>)</w:t>
      </w:r>
      <w:r w:rsidRPr="00524C7A">
        <w:rPr>
          <w:rFonts w:asciiTheme="minorHAnsi" w:hAnsiTheme="minorHAnsi"/>
          <w:bCs/>
          <w:color w:val="000000" w:themeColor="text1"/>
          <w:sz w:val="22"/>
          <w:szCs w:val="22"/>
        </w:rPr>
        <w:t xml:space="preserve"> iznose </w:t>
      </w:r>
      <w:r w:rsidR="005503E2">
        <w:rPr>
          <w:rFonts w:asciiTheme="minorHAnsi" w:hAnsiTheme="minorHAnsi"/>
          <w:bCs/>
          <w:color w:val="000000" w:themeColor="text1"/>
          <w:sz w:val="22"/>
          <w:szCs w:val="22"/>
        </w:rPr>
        <w:t>416.474,10</w:t>
      </w:r>
      <w:r w:rsidRPr="00524C7A">
        <w:rPr>
          <w:rFonts w:asciiTheme="minorHAnsi" w:hAnsiTheme="minorHAnsi"/>
          <w:bCs/>
          <w:color w:val="000000" w:themeColor="text1"/>
          <w:sz w:val="22"/>
          <w:szCs w:val="22"/>
        </w:rPr>
        <w:t xml:space="preserve"> </w:t>
      </w:r>
      <w:r w:rsidR="007F1618" w:rsidRPr="00524C7A">
        <w:rPr>
          <w:rFonts w:asciiTheme="minorHAnsi" w:hAnsiTheme="minorHAnsi"/>
          <w:bCs/>
          <w:color w:val="000000" w:themeColor="text1"/>
          <w:sz w:val="22"/>
          <w:szCs w:val="22"/>
        </w:rPr>
        <w:t>€</w:t>
      </w:r>
      <w:r w:rsidRPr="00524C7A">
        <w:rPr>
          <w:rFonts w:asciiTheme="minorHAnsi" w:hAnsiTheme="minorHAnsi"/>
          <w:bCs/>
          <w:color w:val="000000" w:themeColor="text1"/>
          <w:sz w:val="22"/>
          <w:szCs w:val="22"/>
        </w:rPr>
        <w:t xml:space="preserve"> i najvećim dijelom se odnose na komunalne doprinose i na</w:t>
      </w:r>
      <w:r w:rsidR="005503E2">
        <w:rPr>
          <w:rFonts w:asciiTheme="minorHAnsi" w:hAnsiTheme="minorHAnsi"/>
          <w:bCs/>
          <w:color w:val="000000" w:themeColor="text1"/>
          <w:sz w:val="22"/>
          <w:szCs w:val="22"/>
        </w:rPr>
        <w:t>kn</w:t>
      </w:r>
      <w:r w:rsidRPr="00524C7A">
        <w:rPr>
          <w:rFonts w:asciiTheme="minorHAnsi" w:hAnsiTheme="minorHAnsi"/>
          <w:bCs/>
          <w:color w:val="000000" w:themeColor="text1"/>
          <w:sz w:val="22"/>
          <w:szCs w:val="22"/>
        </w:rPr>
        <w:t>ade.</w:t>
      </w:r>
      <w:r w:rsidR="005503E2">
        <w:rPr>
          <w:rFonts w:asciiTheme="minorHAnsi" w:hAnsiTheme="minorHAnsi"/>
          <w:bCs/>
          <w:color w:val="000000" w:themeColor="text1"/>
          <w:sz w:val="22"/>
          <w:szCs w:val="22"/>
        </w:rPr>
        <w:t xml:space="preserve"> Potraživanja za kazne </w:t>
      </w:r>
      <w:r w:rsidR="005503E2" w:rsidRPr="005503E2">
        <w:rPr>
          <w:rFonts w:asciiTheme="minorHAnsi" w:hAnsiTheme="minorHAnsi"/>
          <w:b/>
          <w:bCs/>
          <w:color w:val="000000" w:themeColor="text1"/>
          <w:sz w:val="22"/>
          <w:szCs w:val="22"/>
        </w:rPr>
        <w:t>(šifra 168)</w:t>
      </w:r>
      <w:r w:rsidR="005503E2">
        <w:rPr>
          <w:rFonts w:asciiTheme="minorHAnsi" w:hAnsiTheme="minorHAnsi"/>
          <w:bCs/>
          <w:color w:val="000000" w:themeColor="text1"/>
          <w:sz w:val="22"/>
          <w:szCs w:val="22"/>
        </w:rPr>
        <w:t xml:space="preserve"> iznose 27.135,54 €</w:t>
      </w:r>
      <w:r w:rsidR="00BE333E">
        <w:rPr>
          <w:rFonts w:asciiTheme="minorHAnsi" w:hAnsiTheme="minorHAnsi"/>
          <w:bCs/>
          <w:color w:val="000000" w:themeColor="text1"/>
          <w:sz w:val="22"/>
          <w:szCs w:val="22"/>
        </w:rPr>
        <w:t xml:space="preserve"> i povećana su za 389,5%. </w:t>
      </w:r>
      <w:r w:rsidRPr="00524C7A">
        <w:rPr>
          <w:rFonts w:asciiTheme="minorHAnsi" w:hAnsiTheme="minorHAnsi"/>
          <w:bCs/>
          <w:color w:val="000000" w:themeColor="text1"/>
          <w:sz w:val="22"/>
          <w:szCs w:val="22"/>
        </w:rPr>
        <w:t xml:space="preserve"> Ispravak vrijednosti potraživanja iznosi </w:t>
      </w:r>
      <w:r w:rsidR="00BE333E">
        <w:rPr>
          <w:rFonts w:asciiTheme="minorHAnsi" w:hAnsiTheme="minorHAnsi"/>
          <w:bCs/>
          <w:color w:val="000000" w:themeColor="text1"/>
          <w:sz w:val="22"/>
          <w:szCs w:val="22"/>
        </w:rPr>
        <w:t>572.808,48</w:t>
      </w:r>
      <w:r w:rsidRPr="00524C7A">
        <w:rPr>
          <w:rFonts w:asciiTheme="minorHAnsi" w:hAnsiTheme="minorHAnsi"/>
          <w:bCs/>
          <w:color w:val="000000" w:themeColor="text1"/>
          <w:sz w:val="22"/>
          <w:szCs w:val="22"/>
        </w:rPr>
        <w:t xml:space="preserve"> </w:t>
      </w:r>
      <w:r w:rsidR="007F1618" w:rsidRPr="00524C7A">
        <w:rPr>
          <w:rFonts w:asciiTheme="minorHAnsi" w:hAnsiTheme="minorHAnsi"/>
          <w:bCs/>
          <w:color w:val="000000" w:themeColor="text1"/>
          <w:sz w:val="22"/>
          <w:szCs w:val="22"/>
        </w:rPr>
        <w:t>€</w:t>
      </w:r>
      <w:r w:rsidRPr="00524C7A">
        <w:rPr>
          <w:rFonts w:asciiTheme="minorHAnsi" w:hAnsiTheme="minorHAnsi"/>
          <w:bCs/>
          <w:color w:val="000000" w:themeColor="text1"/>
          <w:sz w:val="22"/>
          <w:szCs w:val="22"/>
        </w:rPr>
        <w:t xml:space="preserve"> i rezultat je primjene primjene čl. 37a. Pravilnika o proračunskom računovodstvu i računskom planu prema kojem se na kraju godine provodi ispravak vrijednosti potraživanja uzimajući u obzir kašnjenje u naplati </w:t>
      </w:r>
      <w:r w:rsidRPr="00524C7A">
        <w:rPr>
          <w:rFonts w:asciiTheme="minorHAnsi" w:hAnsiTheme="minorHAnsi"/>
          <w:b/>
          <w:bCs/>
          <w:color w:val="000000" w:themeColor="text1"/>
          <w:sz w:val="22"/>
          <w:szCs w:val="22"/>
        </w:rPr>
        <w:t>(</w:t>
      </w:r>
      <w:r w:rsidRPr="00524C7A">
        <w:rPr>
          <w:rFonts w:asciiTheme="minorHAnsi" w:hAnsiTheme="minorHAnsi"/>
          <w:b/>
          <w:color w:val="000000" w:themeColor="text1"/>
          <w:sz w:val="22"/>
          <w:szCs w:val="22"/>
        </w:rPr>
        <w:t>šifra 169</w:t>
      </w:r>
      <w:r w:rsidRPr="00524C7A">
        <w:rPr>
          <w:rFonts w:asciiTheme="minorHAnsi" w:hAnsiTheme="minorHAnsi"/>
          <w:b/>
          <w:bCs/>
          <w:color w:val="000000" w:themeColor="text1"/>
          <w:sz w:val="22"/>
          <w:szCs w:val="22"/>
        </w:rPr>
        <w:t>)</w:t>
      </w:r>
      <w:r w:rsidRPr="00524C7A">
        <w:rPr>
          <w:rFonts w:asciiTheme="minorHAnsi" w:hAnsiTheme="minorHAnsi"/>
          <w:bCs/>
          <w:color w:val="000000" w:themeColor="text1"/>
          <w:sz w:val="22"/>
          <w:szCs w:val="22"/>
        </w:rPr>
        <w:t xml:space="preserve">. Ne uzimajući u obzir ispravak vrijednosti, potraživanja su </w:t>
      </w:r>
      <w:r w:rsidR="00BE333E">
        <w:rPr>
          <w:rFonts w:asciiTheme="minorHAnsi" w:hAnsiTheme="minorHAnsi"/>
          <w:bCs/>
          <w:color w:val="000000" w:themeColor="text1"/>
          <w:sz w:val="22"/>
          <w:szCs w:val="22"/>
        </w:rPr>
        <w:t>5,9</w:t>
      </w:r>
      <w:r w:rsidRPr="00524C7A">
        <w:rPr>
          <w:rFonts w:asciiTheme="minorHAnsi" w:hAnsiTheme="minorHAnsi"/>
          <w:bCs/>
          <w:color w:val="000000" w:themeColor="text1"/>
          <w:sz w:val="22"/>
          <w:szCs w:val="22"/>
        </w:rPr>
        <w:t xml:space="preserve">% veća od početnog stanja  najvećim dijelom se povećanje odnosi na stanje potraživanja za porez na promet nekretnina evidentirano na kraju izvještajne godine temeljem izvještaja Porezne uprave koja sukladno propisima vodi razrez, naplatu i evidenciju istog. </w:t>
      </w:r>
    </w:p>
    <w:p w:rsidR="00345C4A" w:rsidRPr="00BE333E" w:rsidRDefault="00345C4A" w:rsidP="00BE333E">
      <w:pPr>
        <w:tabs>
          <w:tab w:val="left" w:pos="426"/>
        </w:tabs>
        <w:spacing w:before="240"/>
        <w:jc w:val="both"/>
        <w:rPr>
          <w:rFonts w:asciiTheme="minorHAnsi" w:hAnsiTheme="minorHAnsi"/>
          <w:b/>
          <w:color w:val="000000" w:themeColor="text1"/>
          <w:sz w:val="22"/>
          <w:szCs w:val="22"/>
        </w:rPr>
      </w:pPr>
      <w:r w:rsidRPr="00BE333E">
        <w:rPr>
          <w:rFonts w:asciiTheme="minorHAnsi" w:hAnsiTheme="minorHAnsi"/>
          <w:b/>
          <w:color w:val="000000" w:themeColor="text1"/>
          <w:sz w:val="22"/>
          <w:szCs w:val="22"/>
        </w:rPr>
        <w:t xml:space="preserve">Potraživanja od prodaje nefinancijske imovine </w:t>
      </w:r>
      <w:r w:rsidRPr="00BE333E">
        <w:rPr>
          <w:rFonts w:asciiTheme="minorHAnsi" w:hAnsiTheme="minorHAnsi"/>
          <w:b/>
          <w:bCs/>
          <w:color w:val="000000" w:themeColor="text1"/>
          <w:sz w:val="22"/>
          <w:szCs w:val="22"/>
        </w:rPr>
        <w:t>(</w:t>
      </w:r>
      <w:r w:rsidRPr="00BE333E">
        <w:rPr>
          <w:rFonts w:asciiTheme="minorHAnsi" w:hAnsiTheme="minorHAnsi"/>
          <w:b/>
          <w:color w:val="000000" w:themeColor="text1"/>
          <w:sz w:val="22"/>
          <w:szCs w:val="22"/>
        </w:rPr>
        <w:t>šifra 17</w:t>
      </w:r>
      <w:r w:rsidRPr="00BE333E">
        <w:rPr>
          <w:rFonts w:asciiTheme="minorHAnsi" w:hAnsiTheme="minorHAnsi"/>
          <w:b/>
          <w:bCs/>
          <w:color w:val="000000" w:themeColor="text1"/>
          <w:sz w:val="22"/>
          <w:szCs w:val="22"/>
        </w:rPr>
        <w:t xml:space="preserve">) </w:t>
      </w:r>
      <w:r w:rsidRPr="00BE333E">
        <w:rPr>
          <w:rFonts w:asciiTheme="minorHAnsi" w:hAnsiTheme="minorHAnsi"/>
          <w:color w:val="000000" w:themeColor="text1"/>
          <w:sz w:val="22"/>
          <w:szCs w:val="22"/>
        </w:rPr>
        <w:t xml:space="preserve">iznose </w:t>
      </w:r>
      <w:r w:rsidR="00BE333E">
        <w:rPr>
          <w:rFonts w:asciiTheme="minorHAnsi" w:hAnsiTheme="minorHAnsi"/>
          <w:color w:val="000000" w:themeColor="text1"/>
          <w:sz w:val="22"/>
          <w:szCs w:val="22"/>
        </w:rPr>
        <w:t>2.180,25 €</w:t>
      </w:r>
      <w:r w:rsidRPr="00BE333E">
        <w:rPr>
          <w:rFonts w:asciiTheme="minorHAnsi" w:hAnsiTheme="minorHAnsi"/>
          <w:color w:val="000000" w:themeColor="text1"/>
          <w:sz w:val="22"/>
          <w:szCs w:val="22"/>
        </w:rPr>
        <w:t>, a odnose se na potraživanja od prodaje stambenih objekata u skladu s dinamikom otplate stanova na kojima je ostvareno stambeno pravo.</w:t>
      </w:r>
    </w:p>
    <w:p w:rsidR="00345C4A" w:rsidRPr="00BE333E" w:rsidRDefault="00345C4A" w:rsidP="00BE333E">
      <w:pPr>
        <w:tabs>
          <w:tab w:val="left" w:pos="426"/>
        </w:tabs>
        <w:spacing w:before="240"/>
        <w:jc w:val="both"/>
        <w:rPr>
          <w:rFonts w:asciiTheme="minorHAnsi" w:hAnsiTheme="minorHAnsi"/>
          <w:b/>
          <w:color w:val="000000" w:themeColor="text1"/>
          <w:sz w:val="22"/>
          <w:szCs w:val="22"/>
        </w:rPr>
      </w:pPr>
      <w:r w:rsidRPr="00BE333E">
        <w:rPr>
          <w:rFonts w:asciiTheme="minorHAnsi" w:hAnsiTheme="minorHAnsi"/>
          <w:b/>
          <w:color w:val="000000" w:themeColor="text1"/>
          <w:sz w:val="22"/>
          <w:szCs w:val="22"/>
        </w:rPr>
        <w:t xml:space="preserve">Rashodi budućih razdoblja i nedospjela naplata prihoda </w:t>
      </w:r>
      <w:r w:rsidRPr="00BE333E">
        <w:rPr>
          <w:rFonts w:asciiTheme="minorHAnsi" w:hAnsiTheme="minorHAnsi"/>
          <w:b/>
          <w:bCs/>
          <w:color w:val="000000" w:themeColor="text1"/>
          <w:sz w:val="22"/>
          <w:szCs w:val="22"/>
        </w:rPr>
        <w:t>(</w:t>
      </w:r>
      <w:r w:rsidRPr="00BE333E">
        <w:rPr>
          <w:rFonts w:asciiTheme="minorHAnsi" w:hAnsiTheme="minorHAnsi"/>
          <w:b/>
          <w:color w:val="000000" w:themeColor="text1"/>
          <w:sz w:val="22"/>
          <w:szCs w:val="22"/>
        </w:rPr>
        <w:t>šifra 19</w:t>
      </w:r>
      <w:r w:rsidRPr="00BE333E">
        <w:rPr>
          <w:rFonts w:asciiTheme="minorHAnsi" w:hAnsiTheme="minorHAnsi"/>
          <w:b/>
          <w:bCs/>
          <w:color w:val="000000" w:themeColor="text1"/>
          <w:sz w:val="22"/>
          <w:szCs w:val="22"/>
        </w:rPr>
        <w:t>)</w:t>
      </w:r>
      <w:r w:rsidRPr="00BE333E">
        <w:rPr>
          <w:rFonts w:asciiTheme="minorHAnsi" w:hAnsiTheme="minorHAnsi"/>
          <w:b/>
          <w:color w:val="000000" w:themeColor="text1"/>
          <w:sz w:val="22"/>
          <w:szCs w:val="22"/>
        </w:rPr>
        <w:t xml:space="preserve"> </w:t>
      </w:r>
      <w:r w:rsidRPr="00BE333E">
        <w:rPr>
          <w:rFonts w:asciiTheme="minorHAnsi" w:hAnsiTheme="minorHAnsi"/>
          <w:color w:val="000000" w:themeColor="text1"/>
          <w:sz w:val="22"/>
          <w:szCs w:val="22"/>
        </w:rPr>
        <w:t xml:space="preserve">iznose </w:t>
      </w:r>
      <w:r w:rsidR="00BE333E">
        <w:rPr>
          <w:rFonts w:asciiTheme="minorHAnsi" w:hAnsiTheme="minorHAnsi"/>
          <w:color w:val="000000" w:themeColor="text1"/>
          <w:sz w:val="22"/>
          <w:szCs w:val="22"/>
        </w:rPr>
        <w:t>271.733,84</w:t>
      </w:r>
      <w:r w:rsidRPr="00BE333E">
        <w:rPr>
          <w:rFonts w:asciiTheme="minorHAnsi" w:hAnsiTheme="minorHAnsi"/>
          <w:color w:val="000000" w:themeColor="text1"/>
          <w:sz w:val="22"/>
          <w:szCs w:val="22"/>
        </w:rPr>
        <w:t xml:space="preserve"> </w:t>
      </w:r>
      <w:r w:rsidR="007F1618" w:rsidRPr="00BE333E">
        <w:rPr>
          <w:rFonts w:asciiTheme="minorHAnsi" w:hAnsiTheme="minorHAnsi"/>
          <w:color w:val="000000" w:themeColor="text1"/>
          <w:sz w:val="22"/>
          <w:szCs w:val="22"/>
        </w:rPr>
        <w:t>€</w:t>
      </w:r>
      <w:r w:rsidRPr="00BE333E">
        <w:rPr>
          <w:rFonts w:asciiTheme="minorHAnsi" w:hAnsiTheme="minorHAnsi"/>
          <w:color w:val="000000" w:themeColor="text1"/>
          <w:sz w:val="22"/>
          <w:szCs w:val="22"/>
        </w:rPr>
        <w:t xml:space="preserve">, a odnose se na kontinuirane rashode budućih razdoblja </w:t>
      </w:r>
      <w:r w:rsidRPr="00BE333E">
        <w:rPr>
          <w:rFonts w:asciiTheme="minorHAnsi" w:hAnsiTheme="minorHAnsi"/>
          <w:b/>
          <w:bCs/>
          <w:color w:val="000000" w:themeColor="text1"/>
          <w:sz w:val="22"/>
          <w:szCs w:val="22"/>
        </w:rPr>
        <w:t>(</w:t>
      </w:r>
      <w:r w:rsidRPr="00BE333E">
        <w:rPr>
          <w:rFonts w:asciiTheme="minorHAnsi" w:hAnsiTheme="minorHAnsi"/>
          <w:b/>
          <w:color w:val="000000" w:themeColor="text1"/>
          <w:sz w:val="22"/>
          <w:szCs w:val="22"/>
        </w:rPr>
        <w:t>šifra 193</w:t>
      </w:r>
      <w:r w:rsidRPr="00BE333E">
        <w:rPr>
          <w:rFonts w:asciiTheme="minorHAnsi" w:hAnsiTheme="minorHAnsi"/>
          <w:b/>
          <w:bCs/>
          <w:color w:val="000000" w:themeColor="text1"/>
          <w:sz w:val="22"/>
          <w:szCs w:val="22"/>
        </w:rPr>
        <w:t>)</w:t>
      </w:r>
      <w:r w:rsidRPr="00BE333E">
        <w:rPr>
          <w:rFonts w:asciiTheme="minorHAnsi" w:hAnsiTheme="minorHAnsi"/>
          <w:color w:val="000000" w:themeColor="text1"/>
          <w:sz w:val="22"/>
          <w:szCs w:val="22"/>
        </w:rPr>
        <w:t xml:space="preserve">, odnosno na obveze evidentirane u </w:t>
      </w:r>
      <w:r w:rsidR="00BE333E">
        <w:rPr>
          <w:rFonts w:asciiTheme="minorHAnsi" w:hAnsiTheme="minorHAnsi"/>
          <w:color w:val="000000" w:themeColor="text1"/>
          <w:sz w:val="22"/>
          <w:szCs w:val="22"/>
        </w:rPr>
        <w:t>2023</w:t>
      </w:r>
      <w:r w:rsidRPr="00BE333E">
        <w:rPr>
          <w:rFonts w:asciiTheme="minorHAnsi" w:hAnsiTheme="minorHAnsi"/>
          <w:color w:val="000000" w:themeColor="text1"/>
          <w:sz w:val="22"/>
          <w:szCs w:val="22"/>
        </w:rPr>
        <w:t>. godini za rashode koji terete sljedeću proračunsku godinu.</w:t>
      </w:r>
    </w:p>
    <w:p w:rsidR="00345C4A" w:rsidRDefault="00345C4A" w:rsidP="00345C4A">
      <w:pPr>
        <w:tabs>
          <w:tab w:val="left" w:pos="1170"/>
        </w:tabs>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lastRenderedPageBreak/>
        <w:t>Bilješka broj  5.</w:t>
      </w:r>
    </w:p>
    <w:p w:rsidR="00345C4A" w:rsidRPr="00E85861" w:rsidRDefault="00345C4A" w:rsidP="00345C4A">
      <w:pPr>
        <w:tabs>
          <w:tab w:val="left" w:pos="1170"/>
        </w:tabs>
        <w:jc w:val="both"/>
        <w:rPr>
          <w:rFonts w:asciiTheme="minorHAnsi" w:hAnsiTheme="minorHAnsi"/>
          <w:b/>
          <w:color w:val="000000" w:themeColor="text1"/>
          <w:sz w:val="22"/>
          <w:szCs w:val="22"/>
        </w:rPr>
      </w:pPr>
    </w:p>
    <w:p w:rsidR="00345C4A" w:rsidRDefault="00345C4A" w:rsidP="00345C4A">
      <w:pPr>
        <w:spacing w:before="240"/>
        <w:jc w:val="both"/>
        <w:rPr>
          <w:rFonts w:asciiTheme="minorHAnsi" w:hAnsiTheme="minorHAnsi"/>
          <w:bCs/>
          <w:color w:val="000000" w:themeColor="text1"/>
          <w:sz w:val="22"/>
          <w:szCs w:val="22"/>
        </w:rPr>
      </w:pPr>
      <w:r w:rsidRPr="00E85861">
        <w:rPr>
          <w:rFonts w:asciiTheme="minorHAnsi" w:hAnsiTheme="minorHAnsi"/>
          <w:b/>
          <w:color w:val="000000" w:themeColor="text1"/>
          <w:sz w:val="22"/>
          <w:szCs w:val="22"/>
        </w:rPr>
        <w:t>O</w:t>
      </w:r>
      <w:r>
        <w:rPr>
          <w:rFonts w:asciiTheme="minorHAnsi" w:hAnsiTheme="minorHAnsi"/>
          <w:b/>
          <w:color w:val="000000" w:themeColor="text1"/>
          <w:sz w:val="22"/>
          <w:szCs w:val="22"/>
        </w:rPr>
        <w:t xml:space="preserve">bveze i vlastiti izvori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B003</w:t>
      </w:r>
      <w:r w:rsidRPr="002C74CE">
        <w:rPr>
          <w:rFonts w:asciiTheme="minorHAnsi" w:hAnsiTheme="minorHAnsi"/>
          <w:b/>
          <w:bCs/>
          <w:color w:val="000000" w:themeColor="text1"/>
          <w:sz w:val="22"/>
          <w:szCs w:val="22"/>
        </w:rPr>
        <w:t>)</w:t>
      </w:r>
      <w:r w:rsidR="00BE333E">
        <w:rPr>
          <w:rFonts w:asciiTheme="minorHAnsi" w:hAnsiTheme="minorHAnsi"/>
          <w:color w:val="000000" w:themeColor="text1"/>
          <w:sz w:val="22"/>
          <w:szCs w:val="22"/>
        </w:rPr>
        <w:t xml:space="preserve">  na dan 31.12.2023</w:t>
      </w:r>
      <w:r w:rsidRPr="00E85861">
        <w:rPr>
          <w:rFonts w:asciiTheme="minorHAnsi" w:hAnsiTheme="minorHAnsi"/>
          <w:color w:val="000000" w:themeColor="text1"/>
          <w:sz w:val="22"/>
          <w:szCs w:val="22"/>
        </w:rPr>
        <w:t xml:space="preserve">. godine iznose </w:t>
      </w:r>
      <w:r w:rsidR="00FD6113">
        <w:rPr>
          <w:rFonts w:asciiTheme="minorHAnsi" w:hAnsiTheme="minorHAnsi"/>
          <w:color w:val="000000" w:themeColor="text1"/>
          <w:sz w:val="22"/>
          <w:szCs w:val="22"/>
        </w:rPr>
        <w:t>5</w:t>
      </w:r>
      <w:r w:rsidR="00BE333E">
        <w:rPr>
          <w:rFonts w:asciiTheme="minorHAnsi" w:hAnsiTheme="minorHAnsi"/>
          <w:color w:val="000000" w:themeColor="text1"/>
          <w:sz w:val="22"/>
          <w:szCs w:val="22"/>
        </w:rPr>
        <w:t>9.782.945,03</w:t>
      </w:r>
      <w:r w:rsidRPr="00E85861">
        <w:rPr>
          <w:rFonts w:asciiTheme="minorHAnsi" w:hAnsiTheme="minorHAnsi"/>
          <w:b/>
          <w:color w:val="000000" w:themeColor="text1"/>
          <w:sz w:val="22"/>
          <w:szCs w:val="22"/>
        </w:rPr>
        <w:t xml:space="preserve"> </w:t>
      </w:r>
      <w:r w:rsidR="007F1618">
        <w:rPr>
          <w:rFonts w:asciiTheme="minorHAnsi" w:hAnsiTheme="minorHAnsi"/>
          <w:bCs/>
          <w:color w:val="000000" w:themeColor="text1"/>
          <w:sz w:val="22"/>
          <w:szCs w:val="22"/>
        </w:rPr>
        <w:t>€</w:t>
      </w:r>
      <w:r w:rsidRPr="00E85861">
        <w:rPr>
          <w:rFonts w:asciiTheme="minorHAnsi" w:hAnsiTheme="minorHAnsi"/>
          <w:bCs/>
          <w:color w:val="000000" w:themeColor="text1"/>
          <w:sz w:val="22"/>
          <w:szCs w:val="22"/>
        </w:rPr>
        <w:t xml:space="preserve"> i </w:t>
      </w:r>
      <w:r>
        <w:rPr>
          <w:rFonts w:asciiTheme="minorHAnsi" w:hAnsiTheme="minorHAnsi"/>
          <w:bCs/>
          <w:color w:val="000000" w:themeColor="text1"/>
          <w:sz w:val="22"/>
          <w:szCs w:val="22"/>
        </w:rPr>
        <w:t>veći</w:t>
      </w:r>
      <w:r w:rsidRPr="00E85861">
        <w:rPr>
          <w:rFonts w:asciiTheme="minorHAnsi" w:hAnsiTheme="minorHAnsi"/>
          <w:bCs/>
          <w:color w:val="000000" w:themeColor="text1"/>
          <w:sz w:val="22"/>
          <w:szCs w:val="22"/>
        </w:rPr>
        <w:t xml:space="preserve"> su za </w:t>
      </w:r>
      <w:r w:rsidR="00BE333E">
        <w:rPr>
          <w:rFonts w:asciiTheme="minorHAnsi" w:hAnsiTheme="minorHAnsi"/>
          <w:bCs/>
          <w:color w:val="000000" w:themeColor="text1"/>
          <w:sz w:val="22"/>
          <w:szCs w:val="22"/>
        </w:rPr>
        <w:t>5,6</w:t>
      </w:r>
      <w:r w:rsidRPr="00E85861">
        <w:rPr>
          <w:rFonts w:asciiTheme="minorHAnsi" w:hAnsiTheme="minorHAnsi"/>
          <w:bCs/>
          <w:color w:val="000000" w:themeColor="text1"/>
          <w:sz w:val="22"/>
          <w:szCs w:val="22"/>
        </w:rPr>
        <w:t xml:space="preserve">% u odnosu na početno stanje. Odnose se na obveze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bCs/>
          <w:color w:val="000000" w:themeColor="text1"/>
          <w:sz w:val="22"/>
          <w:szCs w:val="22"/>
        </w:rPr>
        <w:t xml:space="preserve">u iznosu </w:t>
      </w:r>
      <w:r w:rsidR="00320C80" w:rsidRPr="00320C80">
        <w:rPr>
          <w:rFonts w:asciiTheme="minorHAnsi" w:hAnsiTheme="minorHAnsi"/>
          <w:bCs/>
          <w:color w:val="000000" w:themeColor="text1"/>
          <w:sz w:val="22"/>
          <w:szCs w:val="22"/>
        </w:rPr>
        <w:t>7.131.901,20</w:t>
      </w:r>
      <w:r w:rsidR="00320C80">
        <w:rPr>
          <w:rFonts w:asciiTheme="minorHAnsi" w:hAnsiTheme="minorHAnsi"/>
          <w:bCs/>
          <w:color w:val="000000" w:themeColor="text1"/>
          <w:sz w:val="22"/>
          <w:szCs w:val="22"/>
        </w:rPr>
        <w:t xml:space="preserve"> </w:t>
      </w:r>
      <w:r w:rsidR="007F1618">
        <w:rPr>
          <w:rFonts w:asciiTheme="minorHAnsi" w:hAnsiTheme="minorHAnsi"/>
          <w:bCs/>
          <w:color w:val="000000" w:themeColor="text1"/>
          <w:sz w:val="22"/>
          <w:szCs w:val="22"/>
        </w:rPr>
        <w:t>€</w:t>
      </w:r>
      <w:r>
        <w:rPr>
          <w:rFonts w:asciiTheme="minorHAnsi" w:hAnsiTheme="minorHAnsi"/>
          <w:bCs/>
          <w:color w:val="000000" w:themeColor="text1"/>
          <w:sz w:val="22"/>
          <w:szCs w:val="22"/>
        </w:rPr>
        <w:t xml:space="preserve"> i vlastite izvore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9</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bCs/>
          <w:color w:val="000000" w:themeColor="text1"/>
          <w:sz w:val="22"/>
          <w:szCs w:val="22"/>
        </w:rPr>
        <w:t xml:space="preserve">u iznosu od </w:t>
      </w:r>
      <w:r w:rsidR="00320C80" w:rsidRPr="00320C80">
        <w:rPr>
          <w:rFonts w:asciiTheme="minorHAnsi" w:hAnsiTheme="minorHAnsi"/>
          <w:bCs/>
          <w:color w:val="000000" w:themeColor="text1"/>
          <w:sz w:val="22"/>
          <w:szCs w:val="22"/>
        </w:rPr>
        <w:t>52.651.043,83</w:t>
      </w:r>
      <w:r w:rsidR="00320C80">
        <w:rPr>
          <w:rFonts w:asciiTheme="minorHAnsi" w:hAnsiTheme="minorHAnsi"/>
          <w:bCs/>
          <w:color w:val="000000" w:themeColor="text1"/>
          <w:sz w:val="22"/>
          <w:szCs w:val="22"/>
        </w:rPr>
        <w:t xml:space="preserve"> </w:t>
      </w:r>
      <w:r w:rsidR="007F1618">
        <w:rPr>
          <w:rFonts w:asciiTheme="minorHAnsi" w:hAnsiTheme="minorHAnsi"/>
          <w:bCs/>
          <w:color w:val="000000" w:themeColor="text1"/>
          <w:sz w:val="22"/>
          <w:szCs w:val="22"/>
        </w:rPr>
        <w:t>€</w:t>
      </w:r>
      <w:r w:rsidRPr="00E85861">
        <w:rPr>
          <w:rFonts w:asciiTheme="minorHAnsi" w:hAnsiTheme="minorHAnsi"/>
          <w:bCs/>
          <w:color w:val="000000" w:themeColor="text1"/>
          <w:sz w:val="22"/>
          <w:szCs w:val="22"/>
        </w:rPr>
        <w:t xml:space="preserve">. </w:t>
      </w:r>
    </w:p>
    <w:p w:rsidR="00345C4A" w:rsidRPr="00E85861" w:rsidRDefault="00345C4A" w:rsidP="00345C4A">
      <w:pPr>
        <w:spacing w:before="240"/>
        <w:jc w:val="both"/>
        <w:rPr>
          <w:rFonts w:asciiTheme="minorHAnsi" w:hAnsiTheme="minorHAnsi"/>
          <w:color w:val="000000" w:themeColor="text1"/>
          <w:sz w:val="22"/>
          <w:szCs w:val="22"/>
        </w:rPr>
      </w:pPr>
    </w:p>
    <w:p w:rsidR="00345C4A" w:rsidRPr="00E85861" w:rsidRDefault="00345C4A" w:rsidP="00345C4A">
      <w:pPr>
        <w:tabs>
          <w:tab w:val="left" w:pos="1170"/>
        </w:tabs>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Bilješka broj  </w:t>
      </w:r>
      <w:r>
        <w:rPr>
          <w:rFonts w:asciiTheme="minorHAnsi" w:hAnsiTheme="minorHAnsi"/>
          <w:b/>
          <w:color w:val="000000" w:themeColor="text1"/>
          <w:sz w:val="22"/>
          <w:szCs w:val="22"/>
        </w:rPr>
        <w:t>6</w:t>
      </w:r>
      <w:r w:rsidRPr="00E85861">
        <w:rPr>
          <w:rFonts w:asciiTheme="minorHAnsi" w:hAnsiTheme="minorHAnsi"/>
          <w:b/>
          <w:color w:val="000000" w:themeColor="text1"/>
          <w:sz w:val="22"/>
          <w:szCs w:val="22"/>
        </w:rPr>
        <w:t>.</w:t>
      </w:r>
    </w:p>
    <w:p w:rsidR="00345C4A" w:rsidRPr="00E85861" w:rsidRDefault="00345C4A" w:rsidP="00345C4A">
      <w:pPr>
        <w:spacing w:before="24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Obveze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w:t>
      </w:r>
      <w:r w:rsidRPr="002C74CE">
        <w:rPr>
          <w:rFonts w:asciiTheme="minorHAnsi" w:hAnsiTheme="minorHAnsi"/>
          <w:b/>
          <w:bCs/>
          <w:color w:val="000000" w:themeColor="text1"/>
          <w:sz w:val="22"/>
          <w:szCs w:val="22"/>
        </w:rPr>
        <w:t>)</w:t>
      </w:r>
      <w:r w:rsidRPr="00E85861">
        <w:rPr>
          <w:rFonts w:asciiTheme="minorHAnsi" w:hAnsiTheme="minorHAnsi"/>
          <w:color w:val="000000" w:themeColor="text1"/>
          <w:sz w:val="22"/>
          <w:szCs w:val="22"/>
        </w:rPr>
        <w:t xml:space="preserve"> odnose se na:</w:t>
      </w:r>
    </w:p>
    <w:p w:rsidR="00345C4A" w:rsidRPr="00E85861" w:rsidRDefault="00345C4A" w:rsidP="00345C4A">
      <w:pPr>
        <w:jc w:val="both"/>
        <w:rPr>
          <w:rFonts w:asciiTheme="minorHAnsi" w:hAnsiTheme="minorHAnsi"/>
          <w:color w:val="000000" w:themeColor="text1"/>
          <w:sz w:val="22"/>
          <w:szCs w:val="22"/>
        </w:rPr>
      </w:pPr>
    </w:p>
    <w:p w:rsidR="00345C4A" w:rsidRPr="00E85861" w:rsidRDefault="00345C4A" w:rsidP="00320C80">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obveze za rashode poslovanja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23</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color w:val="000000" w:themeColor="text1"/>
          <w:sz w:val="22"/>
          <w:szCs w:val="22"/>
        </w:rPr>
        <w:t xml:space="preserve">u iznosu od </w:t>
      </w:r>
      <w:r w:rsidR="00BE333E">
        <w:rPr>
          <w:rFonts w:asciiTheme="minorHAnsi" w:hAnsiTheme="minorHAnsi"/>
          <w:color w:val="000000" w:themeColor="text1"/>
          <w:sz w:val="22"/>
          <w:szCs w:val="22"/>
        </w:rPr>
        <w:t>1.</w:t>
      </w:r>
      <w:r w:rsidR="00320C80" w:rsidRPr="00320C80">
        <w:t xml:space="preserve"> </w:t>
      </w:r>
      <w:r w:rsidR="00320C80" w:rsidRPr="00320C80">
        <w:rPr>
          <w:rFonts w:asciiTheme="minorHAnsi" w:hAnsiTheme="minorHAnsi"/>
          <w:color w:val="000000" w:themeColor="text1"/>
          <w:sz w:val="22"/>
          <w:szCs w:val="22"/>
        </w:rPr>
        <w:t>1.120.438,17</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što predstavlja </w:t>
      </w:r>
      <w:r w:rsidR="00320C80">
        <w:rPr>
          <w:rFonts w:asciiTheme="minorHAnsi" w:hAnsiTheme="minorHAnsi"/>
          <w:color w:val="000000" w:themeColor="text1"/>
          <w:sz w:val="22"/>
          <w:szCs w:val="22"/>
        </w:rPr>
        <w:t>povećanje od 93,1</w:t>
      </w:r>
      <w:r w:rsidR="00BE333E" w:rsidRPr="00E85861">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u odnosu na početno stanje. Obveze za rashode poslovanja č</w:t>
      </w:r>
      <w:r>
        <w:rPr>
          <w:rFonts w:asciiTheme="minorHAnsi" w:hAnsiTheme="minorHAnsi"/>
          <w:color w:val="000000" w:themeColor="text1"/>
          <w:sz w:val="22"/>
          <w:szCs w:val="22"/>
        </w:rPr>
        <w:t xml:space="preserve">ine obveze za zaposlene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231</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color w:val="000000" w:themeColor="text1"/>
          <w:sz w:val="22"/>
          <w:szCs w:val="22"/>
        </w:rPr>
        <w:t>i obveze z</w:t>
      </w:r>
      <w:r>
        <w:rPr>
          <w:rFonts w:asciiTheme="minorHAnsi" w:hAnsiTheme="minorHAnsi"/>
          <w:color w:val="000000" w:themeColor="text1"/>
          <w:sz w:val="22"/>
          <w:szCs w:val="22"/>
        </w:rPr>
        <w:t xml:space="preserve">a materijalne rashode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232</w:t>
      </w:r>
      <w:r w:rsidRPr="002C74CE">
        <w:rPr>
          <w:rFonts w:asciiTheme="minorHAnsi" w:hAnsiTheme="minorHAnsi"/>
          <w:b/>
          <w:bCs/>
          <w:color w:val="000000" w:themeColor="text1"/>
          <w:sz w:val="22"/>
          <w:szCs w:val="22"/>
        </w:rPr>
        <w:t>)</w:t>
      </w:r>
      <w:r w:rsidR="0067680F">
        <w:rPr>
          <w:rFonts w:asciiTheme="minorHAnsi" w:hAnsiTheme="minorHAnsi"/>
          <w:b/>
          <w:bCs/>
          <w:color w:val="000000" w:themeColor="text1"/>
          <w:sz w:val="22"/>
          <w:szCs w:val="22"/>
        </w:rPr>
        <w:t xml:space="preserve">. </w:t>
      </w:r>
      <w:r w:rsidR="0067680F" w:rsidRPr="0067680F">
        <w:rPr>
          <w:rFonts w:asciiTheme="minorHAnsi" w:hAnsiTheme="minorHAnsi"/>
          <w:bCs/>
          <w:color w:val="000000" w:themeColor="text1"/>
          <w:sz w:val="22"/>
          <w:szCs w:val="22"/>
        </w:rPr>
        <w:t>Značajno povećanje</w:t>
      </w:r>
      <w:r w:rsidR="0067680F">
        <w:rPr>
          <w:rFonts w:asciiTheme="minorHAnsi" w:hAnsiTheme="minorHAnsi"/>
          <w:bCs/>
          <w:color w:val="000000" w:themeColor="text1"/>
          <w:sz w:val="22"/>
          <w:szCs w:val="22"/>
        </w:rPr>
        <w:t xml:space="preserve"> je kod obveza za materijalne rashode (70%) zbog povećanja cijena komunalnih usluga i povećanja izdataka za intelektualne usluge</w:t>
      </w:r>
    </w:p>
    <w:p w:rsidR="00345C4A" w:rsidRPr="0067680F" w:rsidRDefault="00345C4A" w:rsidP="00345C4A">
      <w:pPr>
        <w:pStyle w:val="Odlomakpopisa"/>
        <w:numPr>
          <w:ilvl w:val="0"/>
          <w:numId w:val="7"/>
        </w:numPr>
        <w:rPr>
          <w:rFonts w:asciiTheme="minorHAnsi" w:hAnsiTheme="minorHAnsi"/>
          <w:color w:val="000000" w:themeColor="text1"/>
          <w:sz w:val="22"/>
          <w:szCs w:val="22"/>
        </w:rPr>
      </w:pPr>
      <w:r w:rsidRPr="0067680F">
        <w:rPr>
          <w:rFonts w:asciiTheme="minorHAnsi" w:hAnsiTheme="minorHAnsi"/>
          <w:b/>
          <w:color w:val="000000" w:themeColor="text1"/>
          <w:sz w:val="22"/>
          <w:szCs w:val="22"/>
        </w:rPr>
        <w:t xml:space="preserve">obveze za financijske rashode </w:t>
      </w:r>
      <w:r w:rsidRPr="0067680F">
        <w:rPr>
          <w:rFonts w:asciiTheme="minorHAnsi" w:hAnsiTheme="minorHAnsi"/>
          <w:b/>
          <w:bCs/>
          <w:color w:val="000000" w:themeColor="text1"/>
          <w:sz w:val="22"/>
          <w:szCs w:val="22"/>
        </w:rPr>
        <w:t>(</w:t>
      </w:r>
      <w:r w:rsidRPr="0067680F">
        <w:rPr>
          <w:rFonts w:asciiTheme="minorHAnsi" w:hAnsiTheme="minorHAnsi"/>
          <w:b/>
          <w:color w:val="000000" w:themeColor="text1"/>
          <w:sz w:val="22"/>
          <w:szCs w:val="22"/>
        </w:rPr>
        <w:t>šifra 234</w:t>
      </w:r>
      <w:r w:rsidRPr="0067680F">
        <w:rPr>
          <w:rFonts w:asciiTheme="minorHAnsi" w:hAnsiTheme="minorHAnsi"/>
          <w:b/>
          <w:bCs/>
          <w:color w:val="000000" w:themeColor="text1"/>
          <w:sz w:val="22"/>
          <w:szCs w:val="22"/>
        </w:rPr>
        <w:t xml:space="preserve">) </w:t>
      </w:r>
      <w:r w:rsidRPr="0067680F">
        <w:rPr>
          <w:rFonts w:asciiTheme="minorHAnsi" w:hAnsiTheme="minorHAnsi"/>
          <w:color w:val="000000" w:themeColor="text1"/>
          <w:sz w:val="22"/>
          <w:szCs w:val="22"/>
        </w:rPr>
        <w:t>iznose</w:t>
      </w:r>
      <w:r w:rsidRPr="0067680F">
        <w:rPr>
          <w:rFonts w:asciiTheme="minorHAnsi" w:hAnsiTheme="minorHAnsi"/>
          <w:b/>
          <w:color w:val="000000" w:themeColor="text1"/>
          <w:sz w:val="22"/>
          <w:szCs w:val="22"/>
        </w:rPr>
        <w:t xml:space="preserve"> </w:t>
      </w:r>
      <w:r w:rsidR="0067680F" w:rsidRPr="0067680F">
        <w:rPr>
          <w:rFonts w:asciiTheme="minorHAnsi" w:hAnsiTheme="minorHAnsi"/>
          <w:color w:val="000000" w:themeColor="text1"/>
          <w:sz w:val="22"/>
          <w:szCs w:val="22"/>
        </w:rPr>
        <w:t>2.150,87</w:t>
      </w:r>
      <w:r w:rsidRPr="0067680F">
        <w:rPr>
          <w:rFonts w:asciiTheme="minorHAnsi" w:hAnsiTheme="minorHAnsi"/>
          <w:color w:val="000000" w:themeColor="text1"/>
          <w:sz w:val="22"/>
          <w:szCs w:val="22"/>
        </w:rPr>
        <w:t xml:space="preserve"> </w:t>
      </w:r>
      <w:r w:rsidR="007F1618" w:rsidRPr="0067680F">
        <w:rPr>
          <w:rFonts w:asciiTheme="minorHAnsi" w:hAnsiTheme="minorHAnsi"/>
          <w:color w:val="000000" w:themeColor="text1"/>
          <w:sz w:val="22"/>
          <w:szCs w:val="22"/>
        </w:rPr>
        <w:t>€</w:t>
      </w:r>
      <w:r w:rsidRPr="0067680F">
        <w:rPr>
          <w:rFonts w:asciiTheme="minorHAnsi" w:hAnsiTheme="minorHAnsi"/>
          <w:color w:val="000000" w:themeColor="text1"/>
          <w:sz w:val="22"/>
          <w:szCs w:val="22"/>
        </w:rPr>
        <w:t xml:space="preserve"> i </w:t>
      </w:r>
      <w:r w:rsidR="0067680F" w:rsidRPr="0067680F">
        <w:rPr>
          <w:rFonts w:asciiTheme="minorHAnsi" w:hAnsiTheme="minorHAnsi"/>
          <w:color w:val="000000" w:themeColor="text1"/>
          <w:sz w:val="22"/>
          <w:szCs w:val="22"/>
        </w:rPr>
        <w:t>veće su za 53,5</w:t>
      </w:r>
      <w:r w:rsidRPr="0067680F">
        <w:rPr>
          <w:rFonts w:asciiTheme="minorHAnsi" w:hAnsiTheme="minorHAnsi"/>
          <w:color w:val="000000" w:themeColor="text1"/>
          <w:sz w:val="22"/>
          <w:szCs w:val="22"/>
        </w:rPr>
        <w:t>%</w:t>
      </w:r>
    </w:p>
    <w:p w:rsidR="00345C4A" w:rsidRPr="0067680F" w:rsidRDefault="00345C4A" w:rsidP="000D6A68">
      <w:pPr>
        <w:numPr>
          <w:ilvl w:val="0"/>
          <w:numId w:val="7"/>
        </w:numPr>
        <w:jc w:val="both"/>
        <w:rPr>
          <w:rFonts w:asciiTheme="minorHAnsi" w:hAnsiTheme="minorHAnsi"/>
          <w:color w:val="000000" w:themeColor="text1"/>
          <w:sz w:val="22"/>
          <w:szCs w:val="22"/>
        </w:rPr>
      </w:pPr>
      <w:r w:rsidRPr="0067680F">
        <w:rPr>
          <w:rFonts w:asciiTheme="minorHAnsi" w:hAnsiTheme="minorHAnsi"/>
          <w:b/>
          <w:color w:val="000000" w:themeColor="text1"/>
          <w:sz w:val="22"/>
          <w:szCs w:val="22"/>
        </w:rPr>
        <w:t xml:space="preserve">obveze za subvencije </w:t>
      </w:r>
      <w:r w:rsidRPr="0067680F">
        <w:rPr>
          <w:rFonts w:asciiTheme="minorHAnsi" w:hAnsiTheme="minorHAnsi"/>
          <w:b/>
          <w:bCs/>
          <w:color w:val="000000" w:themeColor="text1"/>
          <w:sz w:val="22"/>
          <w:szCs w:val="22"/>
        </w:rPr>
        <w:t>(</w:t>
      </w:r>
      <w:r w:rsidRPr="0067680F">
        <w:rPr>
          <w:rFonts w:asciiTheme="minorHAnsi" w:hAnsiTheme="minorHAnsi"/>
          <w:b/>
          <w:color w:val="000000" w:themeColor="text1"/>
          <w:sz w:val="22"/>
          <w:szCs w:val="22"/>
        </w:rPr>
        <w:t>šifra 235</w:t>
      </w:r>
      <w:r w:rsidRPr="0067680F">
        <w:rPr>
          <w:rFonts w:asciiTheme="minorHAnsi" w:hAnsiTheme="minorHAnsi"/>
          <w:b/>
          <w:bCs/>
          <w:color w:val="000000" w:themeColor="text1"/>
          <w:sz w:val="22"/>
          <w:szCs w:val="22"/>
        </w:rPr>
        <w:t xml:space="preserve">) </w:t>
      </w:r>
      <w:r w:rsidRPr="0067680F">
        <w:rPr>
          <w:rFonts w:asciiTheme="minorHAnsi" w:hAnsiTheme="minorHAnsi"/>
          <w:color w:val="000000" w:themeColor="text1"/>
          <w:sz w:val="22"/>
          <w:szCs w:val="22"/>
        </w:rPr>
        <w:t xml:space="preserve">iznose </w:t>
      </w:r>
      <w:r w:rsidR="0067680F" w:rsidRPr="0067680F">
        <w:rPr>
          <w:rFonts w:asciiTheme="minorHAnsi" w:hAnsiTheme="minorHAnsi"/>
          <w:color w:val="000000" w:themeColor="text1"/>
          <w:sz w:val="22"/>
          <w:szCs w:val="22"/>
        </w:rPr>
        <w:t>95,87</w:t>
      </w:r>
      <w:r w:rsidRPr="0067680F">
        <w:rPr>
          <w:rFonts w:asciiTheme="minorHAnsi" w:hAnsiTheme="minorHAnsi"/>
          <w:color w:val="000000" w:themeColor="text1"/>
          <w:sz w:val="22"/>
          <w:szCs w:val="22"/>
        </w:rPr>
        <w:t xml:space="preserve"> </w:t>
      </w:r>
      <w:r w:rsidR="007F1618" w:rsidRPr="0067680F">
        <w:rPr>
          <w:rFonts w:asciiTheme="minorHAnsi" w:hAnsiTheme="minorHAnsi"/>
          <w:color w:val="000000" w:themeColor="text1"/>
          <w:sz w:val="22"/>
          <w:szCs w:val="22"/>
        </w:rPr>
        <w:t>€</w:t>
      </w:r>
      <w:r w:rsidR="0067680F" w:rsidRPr="0067680F">
        <w:rPr>
          <w:rFonts w:asciiTheme="minorHAnsi" w:hAnsiTheme="minorHAnsi"/>
          <w:color w:val="000000" w:themeColor="text1"/>
          <w:sz w:val="22"/>
          <w:szCs w:val="22"/>
        </w:rPr>
        <w:t xml:space="preserve"> i manje su za 88,8</w:t>
      </w:r>
      <w:r w:rsidRPr="0067680F">
        <w:rPr>
          <w:rFonts w:asciiTheme="minorHAnsi" w:hAnsiTheme="minorHAnsi"/>
          <w:color w:val="000000" w:themeColor="text1"/>
          <w:sz w:val="22"/>
          <w:szCs w:val="22"/>
        </w:rPr>
        <w:t xml:space="preserve">% </w:t>
      </w:r>
    </w:p>
    <w:p w:rsidR="00345C4A" w:rsidRDefault="00345C4A" w:rsidP="00345C4A">
      <w:pPr>
        <w:numPr>
          <w:ilvl w:val="0"/>
          <w:numId w:val="7"/>
        </w:numPr>
        <w:jc w:val="both"/>
        <w:rPr>
          <w:rFonts w:asciiTheme="minorHAnsi" w:hAnsiTheme="minorHAnsi"/>
          <w:color w:val="000000" w:themeColor="text1"/>
          <w:sz w:val="22"/>
          <w:szCs w:val="22"/>
        </w:rPr>
      </w:pPr>
      <w:r w:rsidRPr="00553328">
        <w:rPr>
          <w:rFonts w:asciiTheme="minorHAnsi" w:hAnsiTheme="minorHAnsi"/>
          <w:b/>
          <w:color w:val="000000" w:themeColor="text1"/>
          <w:sz w:val="22"/>
          <w:szCs w:val="22"/>
        </w:rPr>
        <w:t>obveze za na</w:t>
      </w:r>
      <w:r w:rsidR="0067680F">
        <w:rPr>
          <w:rFonts w:asciiTheme="minorHAnsi" w:hAnsiTheme="minorHAnsi"/>
          <w:b/>
          <w:color w:val="000000" w:themeColor="text1"/>
          <w:sz w:val="22"/>
          <w:szCs w:val="22"/>
        </w:rPr>
        <w:t>kn</w:t>
      </w:r>
      <w:r w:rsidRPr="00553328">
        <w:rPr>
          <w:rFonts w:asciiTheme="minorHAnsi" w:hAnsiTheme="minorHAnsi"/>
          <w:b/>
          <w:color w:val="000000" w:themeColor="text1"/>
          <w:sz w:val="22"/>
          <w:szCs w:val="22"/>
        </w:rPr>
        <w:t xml:space="preserve">ade građanima i kućanstvima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237</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553328">
        <w:rPr>
          <w:rFonts w:asciiTheme="minorHAnsi" w:hAnsiTheme="minorHAnsi"/>
          <w:color w:val="000000" w:themeColor="text1"/>
          <w:sz w:val="22"/>
          <w:szCs w:val="22"/>
        </w:rPr>
        <w:t xml:space="preserve">iznose </w:t>
      </w:r>
      <w:r w:rsidR="00FD6113">
        <w:rPr>
          <w:rFonts w:asciiTheme="minorHAnsi" w:hAnsiTheme="minorHAnsi"/>
          <w:color w:val="000000" w:themeColor="text1"/>
          <w:sz w:val="22"/>
          <w:szCs w:val="22"/>
        </w:rPr>
        <w:t>246</w:t>
      </w:r>
      <w:r w:rsidR="0067680F">
        <w:rPr>
          <w:rFonts w:asciiTheme="minorHAnsi" w:hAnsiTheme="minorHAnsi"/>
          <w:color w:val="000000" w:themeColor="text1"/>
          <w:sz w:val="22"/>
          <w:szCs w:val="22"/>
        </w:rPr>
        <w:t xml:space="preserve">.705,39 </w:t>
      </w:r>
      <w:r w:rsidR="007F1618">
        <w:rPr>
          <w:rFonts w:asciiTheme="minorHAnsi" w:hAnsiTheme="minorHAnsi"/>
          <w:color w:val="000000" w:themeColor="text1"/>
          <w:sz w:val="22"/>
          <w:szCs w:val="22"/>
        </w:rPr>
        <w:t>€</w:t>
      </w:r>
      <w:r w:rsidRPr="00553328">
        <w:rPr>
          <w:rFonts w:asciiTheme="minorHAnsi" w:hAnsiTheme="minorHAnsi"/>
          <w:color w:val="000000" w:themeColor="text1"/>
          <w:sz w:val="22"/>
          <w:szCs w:val="22"/>
        </w:rPr>
        <w:t xml:space="preserve"> što predstavlja povećanje od </w:t>
      </w:r>
      <w:r w:rsidR="0067680F">
        <w:rPr>
          <w:rFonts w:asciiTheme="minorHAnsi" w:hAnsiTheme="minorHAnsi"/>
          <w:color w:val="000000" w:themeColor="text1"/>
          <w:sz w:val="22"/>
          <w:szCs w:val="22"/>
        </w:rPr>
        <w:t>23,4</w:t>
      </w:r>
      <w:r w:rsidRPr="00553328">
        <w:rPr>
          <w:rFonts w:asciiTheme="minorHAnsi" w:hAnsiTheme="minorHAnsi"/>
          <w:color w:val="000000" w:themeColor="text1"/>
          <w:sz w:val="22"/>
          <w:szCs w:val="22"/>
        </w:rPr>
        <w:t xml:space="preserve">% u odnosu na početno stanje </w:t>
      </w:r>
    </w:p>
    <w:p w:rsidR="0067680F" w:rsidRPr="0067680F" w:rsidRDefault="0067680F" w:rsidP="0067680F">
      <w:pPr>
        <w:numPr>
          <w:ilvl w:val="0"/>
          <w:numId w:val="7"/>
        </w:numPr>
        <w:jc w:val="both"/>
        <w:rPr>
          <w:rFonts w:asciiTheme="minorHAnsi" w:hAnsiTheme="minorHAnsi"/>
          <w:color w:val="000000" w:themeColor="text1"/>
          <w:sz w:val="22"/>
          <w:szCs w:val="22"/>
        </w:rPr>
      </w:pPr>
      <w:r w:rsidRPr="0067680F">
        <w:rPr>
          <w:rFonts w:asciiTheme="minorHAnsi" w:hAnsiTheme="minorHAnsi"/>
          <w:b/>
          <w:color w:val="000000" w:themeColor="text1"/>
          <w:sz w:val="22"/>
          <w:szCs w:val="22"/>
        </w:rPr>
        <w:t xml:space="preserve">obveze za kazne, naknade šteta i kapitalne pomoći </w:t>
      </w:r>
      <w:r w:rsidRPr="0067680F">
        <w:rPr>
          <w:rFonts w:asciiTheme="minorHAnsi" w:hAnsiTheme="minorHAnsi"/>
          <w:b/>
          <w:bCs/>
          <w:color w:val="000000" w:themeColor="text1"/>
          <w:sz w:val="22"/>
          <w:szCs w:val="22"/>
        </w:rPr>
        <w:t>(</w:t>
      </w:r>
      <w:r w:rsidRPr="0067680F">
        <w:rPr>
          <w:rFonts w:asciiTheme="minorHAnsi" w:hAnsiTheme="minorHAnsi"/>
          <w:b/>
          <w:color w:val="000000" w:themeColor="text1"/>
          <w:sz w:val="22"/>
          <w:szCs w:val="22"/>
        </w:rPr>
        <w:t>šifra 238</w:t>
      </w:r>
      <w:r w:rsidRPr="0067680F">
        <w:rPr>
          <w:rFonts w:asciiTheme="minorHAnsi" w:hAnsiTheme="minorHAnsi"/>
          <w:b/>
          <w:bCs/>
          <w:color w:val="000000" w:themeColor="text1"/>
          <w:sz w:val="22"/>
          <w:szCs w:val="22"/>
        </w:rPr>
        <w:t xml:space="preserve">) </w:t>
      </w:r>
      <w:r w:rsidRPr="0067680F">
        <w:rPr>
          <w:rFonts w:asciiTheme="minorHAnsi" w:hAnsiTheme="minorHAnsi"/>
          <w:color w:val="000000" w:themeColor="text1"/>
          <w:sz w:val="22"/>
          <w:szCs w:val="22"/>
        </w:rPr>
        <w:t>iznose 188.123,57€</w:t>
      </w:r>
      <w:r>
        <w:rPr>
          <w:rFonts w:asciiTheme="minorHAnsi" w:hAnsiTheme="minorHAnsi"/>
          <w:color w:val="000000" w:themeColor="text1"/>
          <w:sz w:val="22"/>
          <w:szCs w:val="22"/>
        </w:rPr>
        <w:t xml:space="preserve"> </w:t>
      </w:r>
    </w:p>
    <w:p w:rsidR="00345C4A" w:rsidRPr="00E85861" w:rsidRDefault="00345C4A" w:rsidP="00320C80">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ostale tekuće obveze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239</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4B5492">
        <w:rPr>
          <w:rFonts w:asciiTheme="minorHAnsi" w:hAnsiTheme="minorHAnsi"/>
          <w:color w:val="000000" w:themeColor="text1"/>
          <w:sz w:val="22"/>
          <w:szCs w:val="22"/>
        </w:rPr>
        <w:t xml:space="preserve">iznose </w:t>
      </w:r>
      <w:r w:rsidR="00320C80" w:rsidRPr="00320C80">
        <w:rPr>
          <w:rFonts w:asciiTheme="minorHAnsi" w:hAnsiTheme="minorHAnsi"/>
          <w:color w:val="000000" w:themeColor="text1"/>
          <w:sz w:val="22"/>
          <w:szCs w:val="22"/>
        </w:rPr>
        <w:t>238.804,03</w:t>
      </w:r>
      <w:r w:rsidR="00320C80">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i </w:t>
      </w:r>
      <w:r>
        <w:rPr>
          <w:rFonts w:asciiTheme="minorHAnsi" w:hAnsiTheme="minorHAnsi"/>
          <w:color w:val="000000" w:themeColor="text1"/>
          <w:sz w:val="22"/>
          <w:szCs w:val="22"/>
        </w:rPr>
        <w:t>veće</w:t>
      </w:r>
      <w:r w:rsidRPr="00E85861">
        <w:rPr>
          <w:rFonts w:asciiTheme="minorHAnsi" w:hAnsiTheme="minorHAnsi"/>
          <w:color w:val="000000" w:themeColor="text1"/>
          <w:sz w:val="22"/>
          <w:szCs w:val="22"/>
        </w:rPr>
        <w:t xml:space="preserve"> su za </w:t>
      </w:r>
      <w:r w:rsidR="00320C80">
        <w:rPr>
          <w:rFonts w:asciiTheme="minorHAnsi" w:hAnsiTheme="minorHAnsi"/>
          <w:color w:val="000000" w:themeColor="text1"/>
          <w:sz w:val="22"/>
          <w:szCs w:val="22"/>
        </w:rPr>
        <w:t>187,5</w:t>
      </w:r>
      <w:r w:rsidRPr="00E85861">
        <w:rPr>
          <w:rFonts w:asciiTheme="minorHAnsi" w:hAnsiTheme="minorHAnsi"/>
          <w:color w:val="000000" w:themeColor="text1"/>
          <w:sz w:val="22"/>
          <w:szCs w:val="22"/>
        </w:rPr>
        <w:t xml:space="preserve">%. Odnose se na obveze po osnovi poreza na dodanu vrijednost </w:t>
      </w:r>
      <w:r w:rsidR="0067680F">
        <w:rPr>
          <w:rFonts w:asciiTheme="minorHAnsi" w:hAnsiTheme="minorHAnsi"/>
          <w:color w:val="000000" w:themeColor="text1"/>
          <w:sz w:val="22"/>
          <w:szCs w:val="22"/>
        </w:rPr>
        <w:t xml:space="preserve">u iznosu od 140.861,02 € </w:t>
      </w:r>
      <w:r w:rsidRPr="00E85861">
        <w:rPr>
          <w:rFonts w:asciiTheme="minorHAnsi" w:hAnsiTheme="minorHAnsi"/>
          <w:color w:val="000000" w:themeColor="text1"/>
          <w:sz w:val="22"/>
          <w:szCs w:val="22"/>
        </w:rPr>
        <w:t>po obračunu na d</w:t>
      </w:r>
      <w:r w:rsidR="0067680F">
        <w:rPr>
          <w:rFonts w:asciiTheme="minorHAnsi" w:hAnsiTheme="minorHAnsi"/>
          <w:color w:val="000000" w:themeColor="text1"/>
          <w:sz w:val="22"/>
          <w:szCs w:val="22"/>
        </w:rPr>
        <w:t>an 31. prosinca 2023</w:t>
      </w:r>
      <w:r w:rsidRPr="00E85861">
        <w:rPr>
          <w:rFonts w:asciiTheme="minorHAnsi" w:hAnsiTheme="minorHAnsi"/>
          <w:color w:val="000000" w:themeColor="text1"/>
          <w:sz w:val="22"/>
          <w:szCs w:val="22"/>
        </w:rPr>
        <w:t>. godine koje dospijevaju u 20</w:t>
      </w:r>
      <w:r w:rsidR="0067680F">
        <w:rPr>
          <w:rFonts w:asciiTheme="minorHAnsi" w:hAnsiTheme="minorHAnsi"/>
          <w:color w:val="000000" w:themeColor="text1"/>
          <w:sz w:val="22"/>
          <w:szCs w:val="22"/>
        </w:rPr>
        <w:t>24</w:t>
      </w:r>
      <w:r w:rsidRPr="00E85861">
        <w:rPr>
          <w:rFonts w:asciiTheme="minorHAnsi" w:hAnsiTheme="minorHAnsi"/>
          <w:color w:val="000000" w:themeColor="text1"/>
          <w:sz w:val="22"/>
          <w:szCs w:val="22"/>
        </w:rPr>
        <w:t>. godini</w:t>
      </w:r>
      <w:r>
        <w:rPr>
          <w:rFonts w:asciiTheme="minorHAnsi" w:hAnsiTheme="minorHAnsi"/>
          <w:color w:val="000000" w:themeColor="text1"/>
          <w:sz w:val="22"/>
          <w:szCs w:val="22"/>
        </w:rPr>
        <w:t xml:space="preserve"> te</w:t>
      </w:r>
      <w:r w:rsidRPr="00E85861">
        <w:rPr>
          <w:rFonts w:asciiTheme="minorHAnsi" w:hAnsiTheme="minorHAnsi"/>
          <w:color w:val="000000" w:themeColor="text1"/>
          <w:sz w:val="22"/>
          <w:szCs w:val="22"/>
        </w:rPr>
        <w:t xml:space="preserve"> na obveze po osnovi </w:t>
      </w:r>
      <w:r>
        <w:rPr>
          <w:rFonts w:asciiTheme="minorHAnsi" w:hAnsiTheme="minorHAnsi"/>
          <w:color w:val="000000" w:themeColor="text1"/>
          <w:sz w:val="22"/>
          <w:szCs w:val="22"/>
        </w:rPr>
        <w:t>jamčevina i naplaćenih tuđih prihoda (na</w:t>
      </w:r>
      <w:r w:rsidR="0067680F">
        <w:rPr>
          <w:rFonts w:asciiTheme="minorHAnsi" w:hAnsiTheme="minorHAnsi"/>
          <w:color w:val="000000" w:themeColor="text1"/>
          <w:sz w:val="22"/>
          <w:szCs w:val="22"/>
        </w:rPr>
        <w:t>kn</w:t>
      </w:r>
      <w:r>
        <w:rPr>
          <w:rFonts w:asciiTheme="minorHAnsi" w:hAnsiTheme="minorHAnsi"/>
          <w:color w:val="000000" w:themeColor="text1"/>
          <w:sz w:val="22"/>
          <w:szCs w:val="22"/>
        </w:rPr>
        <w:t>ada za uređenje voda)</w:t>
      </w:r>
      <w:r w:rsidR="0067680F">
        <w:rPr>
          <w:rFonts w:asciiTheme="minorHAnsi" w:hAnsiTheme="minorHAnsi"/>
          <w:color w:val="000000" w:themeColor="text1"/>
          <w:sz w:val="22"/>
          <w:szCs w:val="22"/>
        </w:rPr>
        <w:t xml:space="preserve"> i ostalih obveza</w:t>
      </w:r>
      <w:r>
        <w:rPr>
          <w:rFonts w:asciiTheme="minorHAnsi" w:hAnsiTheme="minorHAnsi"/>
          <w:color w:val="000000" w:themeColor="text1"/>
          <w:sz w:val="22"/>
          <w:szCs w:val="22"/>
        </w:rPr>
        <w:t>.</w:t>
      </w:r>
    </w:p>
    <w:p w:rsidR="00345C4A" w:rsidRPr="00E85861" w:rsidRDefault="00345C4A" w:rsidP="00345C4A">
      <w:pPr>
        <w:numPr>
          <w:ilvl w:val="0"/>
          <w:numId w:val="7"/>
        </w:num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obveze za nabav</w:t>
      </w:r>
      <w:r>
        <w:rPr>
          <w:rFonts w:asciiTheme="minorHAnsi" w:hAnsiTheme="minorHAnsi"/>
          <w:b/>
          <w:color w:val="000000" w:themeColor="text1"/>
          <w:sz w:val="22"/>
          <w:szCs w:val="22"/>
        </w:rPr>
        <w:t xml:space="preserve">u nefinancijske imovine </w:t>
      </w:r>
      <w:r w:rsidRPr="002C74CE">
        <w:rPr>
          <w:rFonts w:asciiTheme="minorHAnsi" w:hAnsiTheme="minorHAnsi"/>
          <w:b/>
          <w:bCs/>
          <w:color w:val="000000" w:themeColor="text1"/>
          <w:sz w:val="22"/>
          <w:szCs w:val="22"/>
        </w:rPr>
        <w:t>(</w:t>
      </w:r>
      <w:r w:rsidR="0067680F">
        <w:rPr>
          <w:rFonts w:asciiTheme="minorHAnsi" w:hAnsiTheme="minorHAnsi"/>
          <w:b/>
          <w:color w:val="000000" w:themeColor="text1"/>
          <w:sz w:val="22"/>
          <w:szCs w:val="22"/>
        </w:rPr>
        <w:t>šifra 24</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color w:val="000000" w:themeColor="text1"/>
          <w:sz w:val="22"/>
          <w:szCs w:val="22"/>
        </w:rPr>
        <w:t xml:space="preserve">iznose </w:t>
      </w:r>
      <w:r w:rsidR="0067680F">
        <w:rPr>
          <w:rFonts w:asciiTheme="minorHAnsi" w:hAnsiTheme="minorHAnsi"/>
          <w:color w:val="000000" w:themeColor="text1"/>
          <w:sz w:val="22"/>
          <w:szCs w:val="22"/>
        </w:rPr>
        <w:t>1.117.849,80</w:t>
      </w:r>
      <w:r>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što predstavlja </w:t>
      </w:r>
      <w:r w:rsidR="00D05631">
        <w:rPr>
          <w:rFonts w:asciiTheme="minorHAnsi" w:hAnsiTheme="minorHAnsi"/>
          <w:color w:val="000000" w:themeColor="text1"/>
          <w:sz w:val="22"/>
          <w:szCs w:val="22"/>
        </w:rPr>
        <w:t>povećanje od 59</w:t>
      </w:r>
      <w:r w:rsidRPr="00E85861">
        <w:rPr>
          <w:rFonts w:asciiTheme="minorHAnsi" w:hAnsiTheme="minorHAnsi"/>
          <w:color w:val="000000" w:themeColor="text1"/>
          <w:sz w:val="22"/>
          <w:szCs w:val="22"/>
        </w:rPr>
        <w:t>% u usporedbi s</w:t>
      </w: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iznosom </w:t>
      </w:r>
      <w:r>
        <w:rPr>
          <w:rFonts w:asciiTheme="minorHAnsi" w:hAnsiTheme="minorHAnsi"/>
          <w:color w:val="000000" w:themeColor="text1"/>
          <w:sz w:val="22"/>
          <w:szCs w:val="22"/>
        </w:rPr>
        <w:t>na</w:t>
      </w:r>
      <w:r w:rsidRPr="00E85861">
        <w:rPr>
          <w:rFonts w:asciiTheme="minorHAnsi" w:hAnsiTheme="minorHAnsi"/>
          <w:color w:val="000000" w:themeColor="text1"/>
          <w:sz w:val="22"/>
          <w:szCs w:val="22"/>
        </w:rPr>
        <w:t xml:space="preserve"> početk</w:t>
      </w:r>
      <w:r>
        <w:rPr>
          <w:rFonts w:asciiTheme="minorHAnsi" w:hAnsiTheme="minorHAnsi"/>
          <w:color w:val="000000" w:themeColor="text1"/>
          <w:sz w:val="22"/>
          <w:szCs w:val="22"/>
        </w:rPr>
        <w:t>u</w:t>
      </w:r>
      <w:r w:rsidRPr="00E85861">
        <w:rPr>
          <w:rFonts w:asciiTheme="minorHAnsi" w:hAnsiTheme="minorHAnsi"/>
          <w:color w:val="000000" w:themeColor="text1"/>
          <w:sz w:val="22"/>
          <w:szCs w:val="22"/>
        </w:rPr>
        <w:t xml:space="preserve"> godine</w:t>
      </w:r>
      <w:r>
        <w:rPr>
          <w:rFonts w:asciiTheme="minorHAnsi" w:hAnsiTheme="minorHAnsi"/>
          <w:color w:val="000000" w:themeColor="text1"/>
          <w:sz w:val="22"/>
          <w:szCs w:val="22"/>
        </w:rPr>
        <w:t>, a</w:t>
      </w:r>
      <w:r w:rsidRPr="00E85861">
        <w:rPr>
          <w:rFonts w:asciiTheme="minorHAnsi" w:hAnsiTheme="minorHAnsi"/>
          <w:color w:val="000000" w:themeColor="text1"/>
          <w:sz w:val="22"/>
          <w:szCs w:val="22"/>
        </w:rPr>
        <w:t xml:space="preserve"> u skladu </w:t>
      </w:r>
      <w:r>
        <w:rPr>
          <w:rFonts w:asciiTheme="minorHAnsi" w:hAnsiTheme="minorHAnsi"/>
          <w:color w:val="000000" w:themeColor="text1"/>
          <w:sz w:val="22"/>
          <w:szCs w:val="22"/>
        </w:rPr>
        <w:t>su s dinamikom dospijeća istih</w:t>
      </w:r>
      <w:r w:rsidRPr="00E85861">
        <w:rPr>
          <w:rFonts w:asciiTheme="minorHAnsi" w:hAnsiTheme="minorHAnsi"/>
          <w:color w:val="000000" w:themeColor="text1"/>
          <w:sz w:val="22"/>
          <w:szCs w:val="22"/>
        </w:rPr>
        <w:t xml:space="preserve"> </w:t>
      </w:r>
    </w:p>
    <w:p w:rsidR="00345C4A" w:rsidRPr="00E85861" w:rsidRDefault="00345C4A" w:rsidP="00345C4A">
      <w:pPr>
        <w:numPr>
          <w:ilvl w:val="0"/>
          <w:numId w:val="7"/>
        </w:num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obve</w:t>
      </w:r>
      <w:r>
        <w:rPr>
          <w:rFonts w:asciiTheme="minorHAnsi" w:hAnsiTheme="minorHAnsi"/>
          <w:b/>
          <w:color w:val="000000" w:themeColor="text1"/>
          <w:sz w:val="22"/>
          <w:szCs w:val="22"/>
        </w:rPr>
        <w:t xml:space="preserve">ze za kredite i zajmove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26</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color w:val="000000" w:themeColor="text1"/>
          <w:sz w:val="22"/>
          <w:szCs w:val="22"/>
        </w:rPr>
        <w:t xml:space="preserve">iznose </w:t>
      </w:r>
      <w:r w:rsidR="00D05631">
        <w:rPr>
          <w:rFonts w:asciiTheme="minorHAnsi" w:hAnsiTheme="minorHAnsi"/>
          <w:color w:val="000000" w:themeColor="text1"/>
          <w:sz w:val="22"/>
          <w:szCs w:val="22"/>
        </w:rPr>
        <w:t>4.893.613,23</w:t>
      </w:r>
      <w:r w:rsidRPr="00E85861">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ili </w:t>
      </w:r>
      <w:r w:rsidR="00D05631">
        <w:rPr>
          <w:rFonts w:asciiTheme="minorHAnsi" w:hAnsiTheme="minorHAnsi"/>
          <w:color w:val="000000" w:themeColor="text1"/>
          <w:sz w:val="22"/>
          <w:szCs w:val="22"/>
        </w:rPr>
        <w:t>14,5</w:t>
      </w:r>
      <w:r w:rsidRPr="00E85861">
        <w:rPr>
          <w:rFonts w:asciiTheme="minorHAnsi" w:hAnsiTheme="minorHAnsi"/>
          <w:color w:val="000000" w:themeColor="text1"/>
          <w:sz w:val="22"/>
          <w:szCs w:val="22"/>
        </w:rPr>
        <w:t xml:space="preserve">% </w:t>
      </w:r>
      <w:r w:rsidR="00D05631">
        <w:rPr>
          <w:rFonts w:asciiTheme="minorHAnsi" w:hAnsiTheme="minorHAnsi"/>
          <w:color w:val="000000" w:themeColor="text1"/>
          <w:sz w:val="22"/>
          <w:szCs w:val="22"/>
        </w:rPr>
        <w:t>manje</w:t>
      </w:r>
      <w:r w:rsidRPr="00E85861">
        <w:rPr>
          <w:rFonts w:asciiTheme="minorHAnsi" w:hAnsiTheme="minorHAnsi"/>
          <w:color w:val="000000" w:themeColor="text1"/>
          <w:sz w:val="22"/>
          <w:szCs w:val="22"/>
        </w:rPr>
        <w:t xml:space="preserve"> od početnog stanja i u skladu su s dinamikom opla</w:t>
      </w:r>
      <w:r>
        <w:rPr>
          <w:rFonts w:asciiTheme="minorHAnsi" w:hAnsiTheme="minorHAnsi"/>
          <w:color w:val="000000" w:themeColor="text1"/>
          <w:sz w:val="22"/>
          <w:szCs w:val="22"/>
        </w:rPr>
        <w:t xml:space="preserve">te i rokovima dospijeća kredita. Do </w:t>
      </w:r>
      <w:r w:rsidR="00D05631">
        <w:rPr>
          <w:rFonts w:asciiTheme="minorHAnsi" w:hAnsiTheme="minorHAnsi"/>
          <w:color w:val="000000" w:themeColor="text1"/>
          <w:sz w:val="22"/>
          <w:szCs w:val="22"/>
        </w:rPr>
        <w:t xml:space="preserve">smanjenja </w:t>
      </w:r>
      <w:r>
        <w:rPr>
          <w:rFonts w:asciiTheme="minorHAnsi" w:hAnsiTheme="minorHAnsi"/>
          <w:color w:val="000000" w:themeColor="text1"/>
          <w:sz w:val="22"/>
          <w:szCs w:val="22"/>
        </w:rPr>
        <w:t xml:space="preserve">je došlo </w:t>
      </w:r>
      <w:r w:rsidR="00D05631">
        <w:rPr>
          <w:rFonts w:asciiTheme="minorHAnsi" w:hAnsiTheme="minorHAnsi"/>
          <w:color w:val="000000" w:themeColor="text1"/>
          <w:sz w:val="22"/>
          <w:szCs w:val="22"/>
        </w:rPr>
        <w:t>zbog završetka otplate kredita Erste banke.</w:t>
      </w:r>
    </w:p>
    <w:p w:rsidR="00345C4A" w:rsidRPr="00E85861" w:rsidRDefault="00345C4A" w:rsidP="00345C4A">
      <w:pPr>
        <w:ind w:left="360"/>
        <w:jc w:val="both"/>
        <w:rPr>
          <w:rFonts w:asciiTheme="minorHAnsi" w:hAnsiTheme="minorHAnsi"/>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r w:rsidRPr="00E85861">
        <w:rPr>
          <w:rFonts w:asciiTheme="minorHAnsi" w:hAnsiTheme="minorHAnsi"/>
          <w:color w:val="000000" w:themeColor="text1"/>
          <w:sz w:val="22"/>
          <w:szCs w:val="22"/>
        </w:rPr>
        <w:t xml:space="preserve">Do </w:t>
      </w:r>
      <w:r>
        <w:rPr>
          <w:rFonts w:asciiTheme="minorHAnsi" w:hAnsiTheme="minorHAnsi"/>
          <w:color w:val="000000" w:themeColor="text1"/>
          <w:sz w:val="22"/>
          <w:szCs w:val="22"/>
        </w:rPr>
        <w:t xml:space="preserve">povećanja </w:t>
      </w:r>
      <w:r w:rsidRPr="00E85861">
        <w:rPr>
          <w:rFonts w:asciiTheme="minorHAnsi" w:hAnsiTheme="minorHAnsi"/>
          <w:color w:val="000000" w:themeColor="text1"/>
          <w:sz w:val="22"/>
          <w:szCs w:val="22"/>
        </w:rPr>
        <w:t>stanja obveza na dan 31. prosi</w:t>
      </w:r>
      <w:r w:rsidR="00D05631">
        <w:rPr>
          <w:rFonts w:asciiTheme="minorHAnsi" w:hAnsiTheme="minorHAnsi"/>
          <w:color w:val="000000" w:themeColor="text1"/>
          <w:sz w:val="22"/>
          <w:szCs w:val="22"/>
        </w:rPr>
        <w:t>nca 2023</w:t>
      </w:r>
      <w:r>
        <w:rPr>
          <w:rFonts w:asciiTheme="minorHAnsi" w:hAnsiTheme="minorHAnsi"/>
          <w:color w:val="000000" w:themeColor="text1"/>
          <w:sz w:val="22"/>
          <w:szCs w:val="22"/>
        </w:rPr>
        <w:t>. u odnosu</w:t>
      </w:r>
      <w:r w:rsidR="00D05631">
        <w:rPr>
          <w:rFonts w:asciiTheme="minorHAnsi" w:hAnsiTheme="minorHAnsi"/>
          <w:color w:val="000000" w:themeColor="text1"/>
          <w:sz w:val="22"/>
          <w:szCs w:val="22"/>
        </w:rPr>
        <w:t xml:space="preserve"> na 1. siječnja 2023</w:t>
      </w:r>
      <w:r w:rsidRPr="00E85861">
        <w:rPr>
          <w:rFonts w:asciiTheme="minorHAnsi" w:hAnsiTheme="minorHAnsi"/>
          <w:color w:val="000000" w:themeColor="text1"/>
          <w:sz w:val="22"/>
          <w:szCs w:val="22"/>
        </w:rPr>
        <w:t xml:space="preserve">. godine došlo je zbog </w:t>
      </w:r>
      <w:r>
        <w:rPr>
          <w:rFonts w:asciiTheme="minorHAnsi" w:hAnsiTheme="minorHAnsi"/>
          <w:color w:val="000000" w:themeColor="text1"/>
          <w:sz w:val="22"/>
          <w:szCs w:val="22"/>
        </w:rPr>
        <w:t>različitih dinamike terećenja i iznosa preuzetih obveza te rokova njihovog dospijeća tijekom pojedine izvještajne godine.</w:t>
      </w:r>
    </w:p>
    <w:p w:rsidR="00345C4A" w:rsidRDefault="00345C4A" w:rsidP="00345C4A">
      <w:pPr>
        <w:ind w:left="720"/>
        <w:jc w:val="both"/>
        <w:rPr>
          <w:rFonts w:asciiTheme="minorHAnsi" w:hAnsiTheme="minorHAnsi"/>
          <w:b/>
          <w:color w:val="000000" w:themeColor="text1"/>
          <w:sz w:val="22"/>
          <w:szCs w:val="22"/>
        </w:rPr>
      </w:pPr>
    </w:p>
    <w:p w:rsidR="00345C4A" w:rsidRDefault="00345C4A"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r>
        <w:rPr>
          <w:rFonts w:asciiTheme="minorHAnsi" w:hAnsiTheme="minorHAnsi"/>
          <w:b/>
          <w:color w:val="000000" w:themeColor="text1"/>
          <w:sz w:val="22"/>
          <w:szCs w:val="22"/>
        </w:rPr>
        <w:t>Bilješka broj  7</w:t>
      </w:r>
      <w:r w:rsidRPr="00E85861">
        <w:rPr>
          <w:rFonts w:asciiTheme="minorHAnsi" w:hAnsiTheme="minorHAnsi"/>
          <w:b/>
          <w:color w:val="000000" w:themeColor="text1"/>
          <w:sz w:val="22"/>
          <w:szCs w:val="22"/>
        </w:rPr>
        <w:t>.</w:t>
      </w:r>
    </w:p>
    <w:p w:rsidR="00345C4A" w:rsidRPr="00E85861" w:rsidRDefault="00345C4A" w:rsidP="00345C4A">
      <w:pPr>
        <w:jc w:val="both"/>
        <w:rPr>
          <w:rFonts w:asciiTheme="minorHAnsi" w:hAnsiTheme="minorHAnsi"/>
          <w:color w:val="000000" w:themeColor="text1"/>
          <w:sz w:val="22"/>
          <w:szCs w:val="22"/>
        </w:rPr>
      </w:pPr>
    </w:p>
    <w:p w:rsidR="00345C4A" w:rsidRPr="00E85861" w:rsidRDefault="00345C4A" w:rsidP="00345C4A">
      <w:pPr>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Vlastiti izvori </w:t>
      </w:r>
      <w:r w:rsidRPr="002C74CE">
        <w:rPr>
          <w:rFonts w:asciiTheme="minorHAnsi" w:hAnsiTheme="minorHAnsi"/>
          <w:b/>
          <w:bCs/>
          <w:color w:val="000000" w:themeColor="text1"/>
          <w:sz w:val="22"/>
          <w:szCs w:val="22"/>
        </w:rPr>
        <w:t>(</w:t>
      </w:r>
      <w:r>
        <w:rPr>
          <w:rFonts w:asciiTheme="minorHAnsi" w:hAnsiTheme="minorHAnsi"/>
          <w:b/>
          <w:color w:val="000000" w:themeColor="text1"/>
          <w:sz w:val="22"/>
          <w:szCs w:val="22"/>
        </w:rPr>
        <w:t>šifra 9</w:t>
      </w:r>
      <w:r w:rsidRPr="002C74CE">
        <w:rPr>
          <w:rFonts w:asciiTheme="minorHAnsi" w:hAnsiTheme="minorHAnsi"/>
          <w:b/>
          <w:bCs/>
          <w:color w:val="000000" w:themeColor="text1"/>
          <w:sz w:val="22"/>
          <w:szCs w:val="22"/>
        </w:rPr>
        <w:t>)</w:t>
      </w:r>
      <w:r>
        <w:rPr>
          <w:rFonts w:asciiTheme="minorHAnsi" w:hAnsiTheme="minorHAnsi"/>
          <w:b/>
          <w:bCs/>
          <w:color w:val="000000" w:themeColor="text1"/>
          <w:sz w:val="22"/>
          <w:szCs w:val="22"/>
        </w:rPr>
        <w:t xml:space="preserve"> </w:t>
      </w:r>
      <w:r w:rsidRPr="00E85861">
        <w:rPr>
          <w:rFonts w:asciiTheme="minorHAnsi" w:hAnsiTheme="minorHAnsi"/>
          <w:color w:val="000000" w:themeColor="text1"/>
          <w:sz w:val="22"/>
          <w:szCs w:val="22"/>
        </w:rPr>
        <w:t xml:space="preserve"> iznose </w:t>
      </w:r>
      <w:r w:rsidR="00320C80" w:rsidRPr="00320C80">
        <w:rPr>
          <w:rFonts w:asciiTheme="minorHAnsi" w:hAnsiTheme="minorHAnsi"/>
          <w:b/>
          <w:bCs/>
          <w:color w:val="000000" w:themeColor="text1"/>
          <w:sz w:val="22"/>
          <w:szCs w:val="22"/>
        </w:rPr>
        <w:t>52.651.043,83</w:t>
      </w:r>
      <w:r w:rsidR="00320C80">
        <w:rPr>
          <w:rFonts w:asciiTheme="minorHAnsi" w:hAnsiTheme="minorHAnsi"/>
          <w:b/>
          <w:bCs/>
          <w:color w:val="000000" w:themeColor="text1"/>
          <w:sz w:val="22"/>
          <w:szCs w:val="22"/>
        </w:rPr>
        <w:t xml:space="preserve"> </w:t>
      </w:r>
      <w:r w:rsidR="007F1618">
        <w:rPr>
          <w:rFonts w:asciiTheme="minorHAnsi" w:hAnsiTheme="minorHAnsi"/>
          <w:b/>
          <w:bCs/>
          <w:color w:val="000000" w:themeColor="text1"/>
          <w:sz w:val="22"/>
          <w:szCs w:val="22"/>
        </w:rPr>
        <w:t>€</w:t>
      </w:r>
      <w:r w:rsidRPr="00E85861">
        <w:rPr>
          <w:rFonts w:asciiTheme="minorHAnsi" w:hAnsiTheme="minorHAnsi"/>
          <w:b/>
          <w:bCs/>
          <w:color w:val="000000" w:themeColor="text1"/>
          <w:sz w:val="22"/>
          <w:szCs w:val="22"/>
        </w:rPr>
        <w:t xml:space="preserve"> </w:t>
      </w:r>
      <w:r w:rsidRPr="00E85861">
        <w:rPr>
          <w:rFonts w:asciiTheme="minorHAnsi" w:hAnsiTheme="minorHAnsi"/>
          <w:bCs/>
          <w:color w:val="000000" w:themeColor="text1"/>
          <w:sz w:val="22"/>
          <w:szCs w:val="22"/>
        </w:rPr>
        <w:t xml:space="preserve">ili </w:t>
      </w:r>
      <w:r w:rsidR="00D05631">
        <w:rPr>
          <w:rFonts w:asciiTheme="minorHAnsi" w:hAnsiTheme="minorHAnsi"/>
          <w:bCs/>
          <w:color w:val="000000" w:themeColor="text1"/>
          <w:sz w:val="22"/>
          <w:szCs w:val="22"/>
        </w:rPr>
        <w:t>6,2</w:t>
      </w:r>
      <w:r w:rsidRPr="00E85861">
        <w:rPr>
          <w:rFonts w:asciiTheme="minorHAnsi" w:hAnsiTheme="minorHAnsi"/>
          <w:bCs/>
          <w:color w:val="000000" w:themeColor="text1"/>
          <w:sz w:val="22"/>
          <w:szCs w:val="22"/>
        </w:rPr>
        <w:t xml:space="preserve">% </w:t>
      </w:r>
      <w:r>
        <w:rPr>
          <w:rFonts w:asciiTheme="minorHAnsi" w:hAnsiTheme="minorHAnsi"/>
          <w:bCs/>
          <w:color w:val="000000" w:themeColor="text1"/>
          <w:sz w:val="22"/>
          <w:szCs w:val="22"/>
        </w:rPr>
        <w:t>više</w:t>
      </w:r>
      <w:r w:rsidRPr="00E85861">
        <w:rPr>
          <w:rFonts w:asciiTheme="minorHAnsi" w:hAnsiTheme="minorHAnsi"/>
          <w:bCs/>
          <w:color w:val="000000" w:themeColor="text1"/>
          <w:sz w:val="22"/>
          <w:szCs w:val="22"/>
        </w:rPr>
        <w:t xml:space="preserve"> nego na početku godine, a rezultat su povećanja izvora za vrijednost nabavljene imovine tijekom godine i smanjenja izvora po osnovi izvršenog ispravka vrijednosti imovine te otpisa i otuđenja, odnosno prodaje imovine</w:t>
      </w:r>
      <w:r>
        <w:rPr>
          <w:rFonts w:asciiTheme="minorHAnsi" w:hAnsiTheme="minorHAnsi"/>
          <w:bCs/>
          <w:color w:val="000000" w:themeColor="text1"/>
          <w:sz w:val="22"/>
          <w:szCs w:val="22"/>
        </w:rPr>
        <w:t xml:space="preserve"> tijekom godine</w:t>
      </w:r>
      <w:r w:rsidRPr="00E85861">
        <w:rPr>
          <w:rFonts w:asciiTheme="minorHAnsi" w:hAnsiTheme="minorHAnsi"/>
          <w:bCs/>
          <w:color w:val="000000" w:themeColor="text1"/>
          <w:sz w:val="22"/>
          <w:szCs w:val="22"/>
        </w:rPr>
        <w:t xml:space="preserve">. </w:t>
      </w:r>
      <w:r w:rsidRPr="00E85861">
        <w:rPr>
          <w:rFonts w:asciiTheme="minorHAnsi" w:hAnsiTheme="minorHAnsi"/>
          <w:color w:val="000000" w:themeColor="text1"/>
          <w:sz w:val="22"/>
          <w:szCs w:val="22"/>
        </w:rPr>
        <w:t xml:space="preserve"> </w:t>
      </w:r>
    </w:p>
    <w:p w:rsidR="00345C4A" w:rsidRDefault="00345C4A"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Bilješka broj  </w:t>
      </w:r>
      <w:r>
        <w:rPr>
          <w:rFonts w:asciiTheme="minorHAnsi" w:hAnsiTheme="minorHAnsi"/>
          <w:b/>
          <w:color w:val="000000" w:themeColor="text1"/>
          <w:sz w:val="22"/>
          <w:szCs w:val="22"/>
        </w:rPr>
        <w:t>8</w:t>
      </w:r>
      <w:r w:rsidRPr="00E85861">
        <w:rPr>
          <w:rFonts w:asciiTheme="minorHAnsi" w:hAnsiTheme="minorHAnsi"/>
          <w:b/>
          <w:color w:val="000000" w:themeColor="text1"/>
          <w:sz w:val="22"/>
          <w:szCs w:val="22"/>
        </w:rPr>
        <w:t>.</w:t>
      </w:r>
    </w:p>
    <w:p w:rsidR="00345C4A" w:rsidRPr="00E85861" w:rsidRDefault="00345C4A" w:rsidP="00345C4A">
      <w:pPr>
        <w:jc w:val="both"/>
        <w:rPr>
          <w:rFonts w:asciiTheme="minorHAnsi" w:hAnsiTheme="minorHAnsi"/>
          <w:bCs/>
          <w:color w:val="000000" w:themeColor="text1"/>
          <w:sz w:val="22"/>
          <w:szCs w:val="22"/>
        </w:rPr>
      </w:pPr>
    </w:p>
    <w:p w:rsidR="00345C4A" w:rsidRDefault="00345C4A" w:rsidP="00345C4A">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Ukupni rezultat</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kao razlika iskazanog </w:t>
      </w:r>
      <w:r w:rsidRPr="00E85861">
        <w:rPr>
          <w:rFonts w:asciiTheme="minorHAnsi" w:hAnsiTheme="minorHAnsi"/>
          <w:b/>
          <w:color w:val="000000" w:themeColor="text1"/>
          <w:sz w:val="22"/>
          <w:szCs w:val="22"/>
        </w:rPr>
        <w:t>viška/manjka prihoda</w:t>
      </w:r>
      <w:r>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na dan 31.</w:t>
      </w:r>
      <w:r w:rsidR="00D05631">
        <w:rPr>
          <w:rFonts w:asciiTheme="minorHAnsi" w:hAnsiTheme="minorHAnsi"/>
          <w:color w:val="000000" w:themeColor="text1"/>
          <w:sz w:val="22"/>
          <w:szCs w:val="22"/>
        </w:rPr>
        <w:t xml:space="preserve"> prosinca 2023</w:t>
      </w:r>
      <w:r w:rsidRPr="00E85861">
        <w:rPr>
          <w:rFonts w:asciiTheme="minorHAnsi" w:hAnsiTheme="minorHAnsi"/>
          <w:color w:val="000000" w:themeColor="text1"/>
          <w:sz w:val="22"/>
          <w:szCs w:val="22"/>
        </w:rPr>
        <w:t>. godine</w:t>
      </w:r>
      <w:r>
        <w:rPr>
          <w:rFonts w:asciiTheme="minorHAnsi" w:hAnsiTheme="minorHAnsi"/>
          <w:color w:val="000000" w:themeColor="text1"/>
          <w:sz w:val="22"/>
          <w:szCs w:val="22"/>
        </w:rPr>
        <w:t>, koji</w:t>
      </w:r>
      <w:r w:rsidRPr="00E85861">
        <w:rPr>
          <w:rFonts w:asciiTheme="minorHAnsi" w:hAnsiTheme="minorHAnsi"/>
          <w:color w:val="000000" w:themeColor="text1"/>
          <w:sz w:val="22"/>
          <w:szCs w:val="22"/>
        </w:rPr>
        <w:t xml:space="preserve"> uključ</w:t>
      </w:r>
      <w:r>
        <w:rPr>
          <w:rFonts w:asciiTheme="minorHAnsi" w:hAnsiTheme="minorHAnsi"/>
          <w:color w:val="000000" w:themeColor="text1"/>
          <w:sz w:val="22"/>
          <w:szCs w:val="22"/>
        </w:rPr>
        <w:t>uje</w:t>
      </w:r>
      <w:r w:rsidRPr="00E85861">
        <w:rPr>
          <w:rFonts w:asciiTheme="minorHAnsi" w:hAnsiTheme="minorHAnsi"/>
          <w:color w:val="000000" w:themeColor="text1"/>
          <w:sz w:val="22"/>
          <w:szCs w:val="22"/>
        </w:rPr>
        <w:t xml:space="preserve"> i preneseni rezultat iz proteklih godina</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w:t>
      </w:r>
      <w:r w:rsidRPr="004B5492">
        <w:rPr>
          <w:rFonts w:asciiTheme="minorHAnsi" w:hAnsiTheme="minorHAnsi"/>
          <w:color w:val="000000" w:themeColor="text1"/>
          <w:sz w:val="22"/>
          <w:szCs w:val="22"/>
        </w:rPr>
        <w:t xml:space="preserve">iznosi </w:t>
      </w:r>
      <w:r w:rsidR="00320C80" w:rsidRPr="00320C80">
        <w:rPr>
          <w:rFonts w:asciiTheme="minorHAnsi" w:hAnsiTheme="minorHAnsi"/>
          <w:color w:val="000000" w:themeColor="text1"/>
          <w:sz w:val="22"/>
          <w:szCs w:val="22"/>
        </w:rPr>
        <w:t>616.364,03</w:t>
      </w:r>
      <w:r w:rsidR="00320C80">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Pr>
          <w:rFonts w:asciiTheme="minorHAnsi" w:hAnsiTheme="minorHAnsi"/>
          <w:color w:val="000000" w:themeColor="text1"/>
          <w:sz w:val="22"/>
          <w:szCs w:val="22"/>
        </w:rPr>
        <w:t xml:space="preserve"> viška</w:t>
      </w:r>
      <w:r w:rsidRPr="00E85861">
        <w:rPr>
          <w:rFonts w:asciiTheme="minorHAnsi" w:hAnsiTheme="minorHAnsi"/>
          <w:color w:val="000000" w:themeColor="text1"/>
          <w:sz w:val="22"/>
          <w:szCs w:val="22"/>
        </w:rPr>
        <w:t xml:space="preserve"> prihoda i primitaka </w:t>
      </w:r>
      <w:r>
        <w:rPr>
          <w:rFonts w:asciiTheme="minorHAnsi" w:hAnsiTheme="minorHAnsi"/>
          <w:color w:val="000000" w:themeColor="text1"/>
          <w:sz w:val="22"/>
          <w:szCs w:val="22"/>
        </w:rPr>
        <w:t>za raspolaganje</w:t>
      </w:r>
      <w:r w:rsidRPr="00E85861">
        <w:rPr>
          <w:rFonts w:asciiTheme="minorHAnsi" w:hAnsiTheme="minorHAnsi"/>
          <w:color w:val="000000" w:themeColor="text1"/>
          <w:sz w:val="22"/>
          <w:szCs w:val="22"/>
        </w:rPr>
        <w:t xml:space="preserve"> u sljedećem razdoblju</w:t>
      </w:r>
      <w:r>
        <w:rPr>
          <w:rFonts w:asciiTheme="minorHAnsi" w:hAnsiTheme="minorHAnsi"/>
          <w:color w:val="000000" w:themeColor="text1"/>
          <w:sz w:val="22"/>
          <w:szCs w:val="22"/>
        </w:rPr>
        <w:t xml:space="preserve">, a čini ga višak prihoda poslovanja u iznosu od </w:t>
      </w:r>
      <w:r w:rsidR="00320C80" w:rsidRPr="00320C80">
        <w:rPr>
          <w:rFonts w:asciiTheme="minorHAnsi" w:hAnsiTheme="minorHAnsi"/>
          <w:color w:val="000000" w:themeColor="text1"/>
          <w:sz w:val="22"/>
          <w:szCs w:val="22"/>
        </w:rPr>
        <w:t>3.515.702,16</w:t>
      </w:r>
      <w:r w:rsidR="00320C80">
        <w:rPr>
          <w:rFonts w:asciiTheme="minorHAnsi" w:hAnsiTheme="minorHAnsi"/>
          <w:color w:val="000000" w:themeColor="text1"/>
          <w:sz w:val="22"/>
          <w:szCs w:val="22"/>
        </w:rPr>
        <w:t xml:space="preserve"> </w:t>
      </w:r>
      <w:bookmarkStart w:id="0" w:name="_GoBack"/>
      <w:bookmarkEnd w:id="0"/>
      <w:r w:rsidR="007F1618">
        <w:rPr>
          <w:rFonts w:asciiTheme="minorHAnsi" w:hAnsiTheme="minorHAnsi"/>
          <w:color w:val="000000" w:themeColor="text1"/>
          <w:sz w:val="22"/>
          <w:szCs w:val="22"/>
        </w:rPr>
        <w:t>€</w:t>
      </w:r>
      <w:r>
        <w:rPr>
          <w:rFonts w:asciiTheme="minorHAnsi" w:hAnsiTheme="minorHAnsi"/>
          <w:color w:val="000000" w:themeColor="text1"/>
          <w:sz w:val="22"/>
          <w:szCs w:val="22"/>
        </w:rPr>
        <w:t xml:space="preserve">, višak primitaka od financijske imovine u iznosu od </w:t>
      </w:r>
      <w:r w:rsidR="00D05631">
        <w:rPr>
          <w:rFonts w:asciiTheme="minorHAnsi" w:hAnsiTheme="minorHAnsi"/>
          <w:color w:val="000000" w:themeColor="text1"/>
          <w:sz w:val="22"/>
          <w:szCs w:val="22"/>
        </w:rPr>
        <w:t xml:space="preserve">1.217.220,24 </w:t>
      </w:r>
      <w:r w:rsidR="007F1618">
        <w:rPr>
          <w:rFonts w:asciiTheme="minorHAnsi" w:hAnsiTheme="minorHAnsi"/>
          <w:color w:val="000000" w:themeColor="text1"/>
          <w:sz w:val="22"/>
          <w:szCs w:val="22"/>
        </w:rPr>
        <w:t>€</w:t>
      </w:r>
      <w:r>
        <w:rPr>
          <w:rFonts w:asciiTheme="minorHAnsi" w:hAnsiTheme="minorHAnsi"/>
          <w:color w:val="000000" w:themeColor="text1"/>
          <w:sz w:val="22"/>
          <w:szCs w:val="22"/>
        </w:rPr>
        <w:t xml:space="preserve"> i manjak prihoda od nefinancijske imovine u iznosu od </w:t>
      </w:r>
      <w:r w:rsidR="00D05631">
        <w:rPr>
          <w:rFonts w:asciiTheme="minorHAnsi" w:hAnsiTheme="minorHAnsi"/>
          <w:color w:val="000000" w:themeColor="text1"/>
          <w:sz w:val="22"/>
          <w:szCs w:val="22"/>
        </w:rPr>
        <w:t>4.116.558,37</w:t>
      </w:r>
      <w:r>
        <w:rPr>
          <w:rFonts w:asciiTheme="minorHAnsi" w:hAnsiTheme="minorHAnsi"/>
          <w:color w:val="000000" w:themeColor="text1"/>
          <w:sz w:val="22"/>
          <w:szCs w:val="22"/>
        </w:rPr>
        <w:t xml:space="preserve"> </w:t>
      </w:r>
      <w:r w:rsidR="007F1618">
        <w:rPr>
          <w:rFonts w:asciiTheme="minorHAnsi" w:hAnsiTheme="minorHAnsi"/>
          <w:color w:val="000000" w:themeColor="text1"/>
          <w:sz w:val="22"/>
          <w:szCs w:val="22"/>
        </w:rPr>
        <w:t>€</w:t>
      </w:r>
      <w:r w:rsidRPr="00E85861">
        <w:rPr>
          <w:rFonts w:asciiTheme="minorHAnsi" w:hAnsiTheme="minorHAnsi"/>
          <w:color w:val="000000" w:themeColor="text1"/>
          <w:sz w:val="22"/>
          <w:szCs w:val="22"/>
        </w:rPr>
        <w:t>.</w:t>
      </w:r>
    </w:p>
    <w:p w:rsidR="00345C4A" w:rsidRDefault="00345C4A" w:rsidP="00345C4A">
      <w:pPr>
        <w:jc w:val="both"/>
        <w:rPr>
          <w:rFonts w:asciiTheme="minorHAnsi" w:hAnsiTheme="minorHAnsi"/>
          <w:color w:val="000000" w:themeColor="text1"/>
          <w:sz w:val="22"/>
          <w:szCs w:val="22"/>
        </w:rPr>
      </w:pPr>
    </w:p>
    <w:p w:rsidR="00D05631" w:rsidRDefault="00D05631" w:rsidP="00345C4A">
      <w:pPr>
        <w:jc w:val="both"/>
        <w:rPr>
          <w:rFonts w:asciiTheme="minorHAnsi" w:hAnsiTheme="minorHAnsi"/>
          <w:color w:val="000000" w:themeColor="text1"/>
          <w:sz w:val="22"/>
          <w:szCs w:val="22"/>
        </w:rPr>
      </w:pPr>
    </w:p>
    <w:p w:rsidR="00D05631" w:rsidRDefault="00D05631" w:rsidP="00345C4A">
      <w:pPr>
        <w:jc w:val="both"/>
        <w:rPr>
          <w:rFonts w:asciiTheme="minorHAnsi" w:hAnsiTheme="minorHAnsi"/>
          <w:color w:val="000000" w:themeColor="text1"/>
          <w:sz w:val="22"/>
          <w:szCs w:val="22"/>
        </w:rPr>
      </w:pPr>
    </w:p>
    <w:p w:rsidR="00345C4A" w:rsidRPr="00E85861" w:rsidRDefault="00345C4A" w:rsidP="00345C4A">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lastRenderedPageBreak/>
        <w:t xml:space="preserve">Bilješka broj  </w:t>
      </w:r>
      <w:r>
        <w:rPr>
          <w:rFonts w:asciiTheme="minorHAnsi" w:hAnsiTheme="minorHAnsi"/>
          <w:b/>
          <w:color w:val="000000" w:themeColor="text1"/>
          <w:sz w:val="22"/>
          <w:szCs w:val="22"/>
        </w:rPr>
        <w:t>9</w:t>
      </w:r>
      <w:r w:rsidRPr="00E85861">
        <w:rPr>
          <w:rFonts w:asciiTheme="minorHAnsi" w:hAnsiTheme="minorHAnsi"/>
          <w:b/>
          <w:color w:val="000000" w:themeColor="text1"/>
          <w:sz w:val="22"/>
          <w:szCs w:val="22"/>
        </w:rPr>
        <w:t>.</w:t>
      </w:r>
    </w:p>
    <w:p w:rsidR="00345C4A" w:rsidRDefault="00345C4A" w:rsidP="00345C4A">
      <w:pPr>
        <w:jc w:val="both"/>
        <w:rPr>
          <w:rFonts w:asciiTheme="minorHAnsi" w:hAnsiTheme="minorHAnsi"/>
          <w:sz w:val="22"/>
          <w:szCs w:val="22"/>
        </w:rPr>
      </w:pPr>
    </w:p>
    <w:p w:rsidR="00345C4A" w:rsidRPr="00E85861" w:rsidRDefault="00345C4A" w:rsidP="00345C4A">
      <w:pPr>
        <w:jc w:val="both"/>
        <w:rPr>
          <w:rFonts w:asciiTheme="minorHAnsi" w:hAnsiTheme="minorHAnsi"/>
          <w:sz w:val="22"/>
          <w:szCs w:val="22"/>
        </w:rPr>
      </w:pPr>
      <w:r>
        <w:rPr>
          <w:rFonts w:asciiTheme="minorHAnsi" w:hAnsiTheme="minorHAnsi"/>
          <w:sz w:val="22"/>
          <w:szCs w:val="22"/>
        </w:rPr>
        <w:t xml:space="preserve">U izvanbilančnim zapisima evidentirani su dani i primljeni instrumenti osiguranja plaćanja i potencijalne obveze po sudskim sporovima u ukupnom iznosu od </w:t>
      </w:r>
      <w:r w:rsidR="00D05631">
        <w:rPr>
          <w:rFonts w:asciiTheme="minorHAnsi" w:hAnsiTheme="minorHAnsi"/>
          <w:sz w:val="22"/>
          <w:szCs w:val="22"/>
        </w:rPr>
        <w:t xml:space="preserve">8.965.390,42 </w:t>
      </w:r>
      <w:r w:rsidR="007F1618">
        <w:rPr>
          <w:rFonts w:asciiTheme="minorHAnsi" w:hAnsiTheme="minorHAnsi"/>
          <w:sz w:val="22"/>
          <w:szCs w:val="22"/>
        </w:rPr>
        <w:t>€</w:t>
      </w:r>
      <w:r>
        <w:rPr>
          <w:rFonts w:asciiTheme="minorHAnsi" w:hAnsiTheme="minorHAnsi"/>
          <w:sz w:val="22"/>
          <w:szCs w:val="22"/>
        </w:rPr>
        <w:t>.</w:t>
      </w:r>
    </w:p>
    <w:p w:rsidR="00345C4A" w:rsidRPr="00E85861" w:rsidRDefault="00345C4A" w:rsidP="00345C4A">
      <w:pPr>
        <w:jc w:val="both"/>
        <w:rPr>
          <w:rFonts w:asciiTheme="minorHAnsi" w:hAnsiTheme="minorHAnsi"/>
          <w:sz w:val="22"/>
          <w:szCs w:val="22"/>
        </w:rPr>
      </w:pPr>
    </w:p>
    <w:p w:rsidR="00345C4A" w:rsidRPr="000811EF" w:rsidRDefault="00345C4A" w:rsidP="00345C4A">
      <w:pPr>
        <w:rPr>
          <w:rFonts w:asciiTheme="minorHAnsi" w:hAnsiTheme="minorHAnsi"/>
          <w:sz w:val="22"/>
          <w:szCs w:val="22"/>
        </w:rPr>
      </w:pPr>
      <w:r>
        <w:rPr>
          <w:rFonts w:asciiTheme="minorHAnsi" w:hAnsiTheme="minorHAnsi"/>
          <w:sz w:val="22"/>
          <w:szCs w:val="22"/>
        </w:rPr>
        <w:t>KLASA: 400-08/22</w:t>
      </w:r>
      <w:r w:rsidRPr="000811EF">
        <w:rPr>
          <w:rFonts w:asciiTheme="minorHAnsi" w:hAnsiTheme="minorHAnsi"/>
          <w:sz w:val="22"/>
          <w:szCs w:val="22"/>
        </w:rPr>
        <w:t>-01/1</w:t>
      </w:r>
    </w:p>
    <w:p w:rsidR="00D05631" w:rsidRDefault="00D05631" w:rsidP="00345C4A">
      <w:pPr>
        <w:jc w:val="both"/>
        <w:rPr>
          <w:rFonts w:asciiTheme="minorHAnsi" w:hAnsiTheme="minorHAnsi"/>
          <w:sz w:val="22"/>
          <w:szCs w:val="22"/>
        </w:rPr>
      </w:pPr>
      <w:r w:rsidRPr="00D05631">
        <w:rPr>
          <w:rFonts w:asciiTheme="minorHAnsi" w:hAnsiTheme="minorHAnsi"/>
          <w:sz w:val="22"/>
          <w:szCs w:val="22"/>
        </w:rPr>
        <w:t>URBROJ: 2170-35-05/04-24-16</w:t>
      </w:r>
    </w:p>
    <w:p w:rsidR="00D05631" w:rsidRDefault="00D05631" w:rsidP="00345C4A">
      <w:pPr>
        <w:jc w:val="both"/>
        <w:rPr>
          <w:rFonts w:asciiTheme="minorHAnsi" w:hAnsiTheme="minorHAnsi"/>
          <w:sz w:val="22"/>
          <w:szCs w:val="22"/>
        </w:rPr>
      </w:pPr>
    </w:p>
    <w:p w:rsidR="00345C4A" w:rsidRPr="00E85861" w:rsidRDefault="00345C4A" w:rsidP="00345C4A">
      <w:pPr>
        <w:jc w:val="both"/>
        <w:rPr>
          <w:rFonts w:asciiTheme="minorHAnsi" w:hAnsiTheme="minorHAnsi"/>
          <w:sz w:val="22"/>
          <w:szCs w:val="22"/>
        </w:rPr>
      </w:pPr>
      <w:r w:rsidRPr="00E85861">
        <w:rPr>
          <w:rFonts w:asciiTheme="minorHAnsi" w:hAnsiTheme="minorHAnsi"/>
          <w:sz w:val="22"/>
          <w:szCs w:val="22"/>
        </w:rPr>
        <w:t xml:space="preserve">Datum: </w:t>
      </w:r>
      <w:r w:rsidR="00D05631">
        <w:rPr>
          <w:rFonts w:asciiTheme="minorHAnsi" w:hAnsiTheme="minorHAnsi"/>
          <w:sz w:val="22"/>
          <w:szCs w:val="22"/>
        </w:rPr>
        <w:t>13. veljače 2024</w:t>
      </w:r>
      <w:r w:rsidRPr="00E85861">
        <w:rPr>
          <w:rFonts w:asciiTheme="minorHAnsi" w:hAnsiTheme="minorHAnsi"/>
          <w:sz w:val="22"/>
          <w:szCs w:val="22"/>
        </w:rPr>
        <w:t>. godine</w:t>
      </w:r>
    </w:p>
    <w:p w:rsidR="00345C4A" w:rsidRPr="00E85861" w:rsidRDefault="00345C4A" w:rsidP="00345C4A">
      <w:pPr>
        <w:jc w:val="both"/>
        <w:rPr>
          <w:rFonts w:asciiTheme="minorHAnsi" w:hAnsiTheme="minorHAnsi"/>
          <w:b/>
          <w:color w:val="000000" w:themeColor="text1"/>
          <w:sz w:val="22"/>
          <w:szCs w:val="22"/>
        </w:rPr>
      </w:pPr>
    </w:p>
    <w:p w:rsidR="00345C4A" w:rsidRPr="00E85861" w:rsidRDefault="00345C4A" w:rsidP="00345C4A">
      <w:pPr>
        <w:jc w:val="both"/>
        <w:rPr>
          <w:rFonts w:asciiTheme="minorHAnsi" w:hAnsiTheme="minorHAnsi"/>
          <w:b/>
          <w:color w:val="000000" w:themeColor="text1"/>
          <w:sz w:val="22"/>
          <w:szCs w:val="22"/>
        </w:rPr>
      </w:pPr>
    </w:p>
    <w:p w:rsidR="00345C4A" w:rsidRPr="00E85861" w:rsidRDefault="00345C4A" w:rsidP="00345C4A">
      <w:pPr>
        <w:autoSpaceDE w:val="0"/>
        <w:autoSpaceDN w:val="0"/>
        <w:adjustRightInd w:val="0"/>
        <w:rPr>
          <w:rFonts w:asciiTheme="minorHAnsi" w:hAnsiTheme="minorHAnsi"/>
          <w:sz w:val="22"/>
          <w:szCs w:val="22"/>
        </w:rPr>
      </w:pPr>
      <w:r w:rsidRPr="00E85861">
        <w:rPr>
          <w:rFonts w:asciiTheme="minorHAnsi" w:hAnsiTheme="minorHAnsi"/>
          <w:sz w:val="22"/>
          <w:szCs w:val="22"/>
        </w:rPr>
        <w:t xml:space="preserve">Osoba za kontakt: </w:t>
      </w:r>
      <w:r w:rsidRPr="0037725E">
        <w:rPr>
          <w:rFonts w:asciiTheme="minorHAnsi" w:hAnsiTheme="minorHAnsi"/>
          <w:i/>
          <w:sz w:val="22"/>
          <w:szCs w:val="22"/>
        </w:rPr>
        <w:t>Eleonora Sokolić Brusić</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p>
    <w:p w:rsidR="00345C4A" w:rsidRDefault="00345C4A" w:rsidP="00345C4A">
      <w:pPr>
        <w:autoSpaceDE w:val="0"/>
        <w:autoSpaceDN w:val="0"/>
        <w:adjustRightInd w:val="0"/>
        <w:rPr>
          <w:rFonts w:asciiTheme="minorHAnsi" w:hAnsiTheme="minorHAnsi"/>
          <w:sz w:val="22"/>
          <w:szCs w:val="22"/>
        </w:rPr>
      </w:pPr>
      <w:r w:rsidRPr="00E85861">
        <w:rPr>
          <w:rFonts w:asciiTheme="minorHAnsi" w:hAnsiTheme="minorHAnsi"/>
          <w:sz w:val="22"/>
          <w:szCs w:val="22"/>
        </w:rPr>
        <w:t xml:space="preserve">Telefon za kontakt: </w:t>
      </w:r>
      <w:r>
        <w:rPr>
          <w:rFonts w:ascii="Calibri" w:hAnsi="Calibri"/>
          <w:i/>
          <w:color w:val="000000"/>
          <w:sz w:val="22"/>
          <w:szCs w:val="22"/>
        </w:rPr>
        <w:t>051/490-997</w:t>
      </w:r>
      <w:r w:rsidRPr="00687597">
        <w:rPr>
          <w:rFonts w:ascii="Calibri" w:hAnsi="Calibri"/>
          <w:color w:val="000000"/>
          <w:sz w:val="22"/>
          <w:szCs w:val="22"/>
        </w:rPr>
        <w:t xml:space="preserve">            </w:t>
      </w:r>
    </w:p>
    <w:p w:rsidR="00345C4A" w:rsidRDefault="00345C4A" w:rsidP="00345C4A">
      <w:pPr>
        <w:autoSpaceDE w:val="0"/>
        <w:autoSpaceDN w:val="0"/>
        <w:adjustRightInd w:val="0"/>
        <w:rPr>
          <w:rFonts w:asciiTheme="minorHAnsi" w:hAnsiTheme="minorHAnsi"/>
          <w:sz w:val="22"/>
          <w:szCs w:val="22"/>
        </w:rPr>
      </w:pPr>
    </w:p>
    <w:p w:rsidR="00345C4A" w:rsidRPr="00E85861" w:rsidRDefault="00345C4A" w:rsidP="00345C4A">
      <w:pPr>
        <w:autoSpaceDE w:val="0"/>
        <w:autoSpaceDN w:val="0"/>
        <w:adjustRightInd w:val="0"/>
        <w:rPr>
          <w:rFonts w:asciiTheme="minorHAnsi" w:hAnsiTheme="minorHAnsi"/>
          <w:sz w:val="22"/>
          <w:szCs w:val="22"/>
        </w:rPr>
      </w:pPr>
    </w:p>
    <w:p w:rsidR="00345C4A" w:rsidRPr="00E85861" w:rsidRDefault="00345C4A" w:rsidP="00345C4A">
      <w:pPr>
        <w:autoSpaceDE w:val="0"/>
        <w:autoSpaceDN w:val="0"/>
        <w:adjustRightInd w:val="0"/>
        <w:ind w:left="6372"/>
        <w:rPr>
          <w:rFonts w:asciiTheme="minorHAnsi" w:hAnsiTheme="minorHAnsi"/>
          <w:sz w:val="22"/>
          <w:szCs w:val="22"/>
        </w:rPr>
      </w:pPr>
      <w:r w:rsidRPr="00E85861">
        <w:rPr>
          <w:rFonts w:asciiTheme="minorHAnsi" w:hAnsiTheme="minorHAnsi"/>
          <w:sz w:val="22"/>
          <w:szCs w:val="22"/>
        </w:rPr>
        <w:t xml:space="preserve">    Odgovorna osoba:</w:t>
      </w:r>
    </w:p>
    <w:p w:rsidR="00345C4A" w:rsidRPr="00E85861" w:rsidRDefault="00345C4A" w:rsidP="00345C4A">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Općinska načelnica:</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M.P.</w:t>
      </w:r>
    </w:p>
    <w:p w:rsidR="00345C4A" w:rsidRPr="00E85861" w:rsidRDefault="00345C4A" w:rsidP="00345C4A">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Pr>
          <w:rFonts w:asciiTheme="minorHAnsi" w:hAnsiTheme="minorHAnsi"/>
          <w:sz w:val="22"/>
          <w:szCs w:val="22"/>
        </w:rPr>
        <w:t xml:space="preserve"> </w:t>
      </w:r>
      <w:r w:rsidRPr="00E85861">
        <w:rPr>
          <w:rFonts w:asciiTheme="minorHAnsi" w:hAnsiTheme="minorHAnsi"/>
          <w:sz w:val="22"/>
          <w:szCs w:val="22"/>
        </w:rPr>
        <w:t>Sanja Udović, dipl. oec.</w:t>
      </w:r>
    </w:p>
    <w:p w:rsidR="00345C4A" w:rsidRPr="00E85861" w:rsidRDefault="00345C4A" w:rsidP="00345C4A">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t xml:space="preserve">            </w:t>
      </w:r>
    </w:p>
    <w:p w:rsidR="00345C4A" w:rsidRDefault="00345C4A" w:rsidP="00355379">
      <w:pPr>
        <w:ind w:left="5688" w:firstLine="684"/>
        <w:rPr>
          <w:rFonts w:ascii="Calibri" w:hAnsi="Calibri"/>
          <w:color w:val="000000"/>
          <w:sz w:val="24"/>
          <w:szCs w:val="24"/>
        </w:rPr>
      </w:pPr>
    </w:p>
    <w:sectPr w:rsidR="00345C4A" w:rsidSect="00495049">
      <w:footerReference w:type="even" r:id="rId10"/>
      <w:footerReference w:type="default" r:id="rId11"/>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09" w:rsidRDefault="007A7F09">
      <w:r>
        <w:separator/>
      </w:r>
    </w:p>
  </w:endnote>
  <w:endnote w:type="continuationSeparator" w:id="0">
    <w:p w:rsidR="007A7F09" w:rsidRDefault="007A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C4" w:rsidRDefault="001C60C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1C60C4" w:rsidRDefault="001C60C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C4" w:rsidRDefault="001C60C4">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320C80">
      <w:rPr>
        <w:rStyle w:val="Brojstranice"/>
        <w:noProof/>
      </w:rPr>
      <w:t>5</w:t>
    </w:r>
    <w:r>
      <w:rPr>
        <w:rStyle w:val="Brojstranice"/>
      </w:rPr>
      <w:fldChar w:fldCharType="end"/>
    </w:r>
  </w:p>
  <w:p w:rsidR="001C60C4" w:rsidRDefault="001C60C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09" w:rsidRDefault="007A7F09">
      <w:r>
        <w:separator/>
      </w:r>
    </w:p>
  </w:footnote>
  <w:footnote w:type="continuationSeparator" w:id="0">
    <w:p w:rsidR="007A7F09" w:rsidRDefault="007A7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64FD3C"/>
    <w:lvl w:ilvl="0">
      <w:numFmt w:val="bullet"/>
      <w:lvlText w:val="*"/>
      <w:lvlJc w:val="left"/>
    </w:lvl>
  </w:abstractNum>
  <w:abstractNum w:abstractNumId="1">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4A5B4EE8"/>
    <w:multiLevelType w:val="hybridMultilevel"/>
    <w:tmpl w:val="B08EBFAE"/>
    <w:lvl w:ilvl="0" w:tplc="3820A2C0">
      <w:start w:val="1"/>
      <w:numFmt w:val="bullet"/>
      <w:lvlText w:val="-"/>
      <w:lvlJc w:val="left"/>
      <w:pPr>
        <w:ind w:left="360" w:hanging="360"/>
      </w:pPr>
      <w:rPr>
        <w:rFonts w:ascii="Calibri" w:eastAsia="Times New Roman"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1">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3">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5"/>
  </w:num>
  <w:num w:numId="4">
    <w:abstractNumId w:val="1"/>
  </w:num>
  <w:num w:numId="5">
    <w:abstractNumId w:val="12"/>
  </w:num>
  <w:num w:numId="6">
    <w:abstractNumId w:val="16"/>
  </w:num>
  <w:num w:numId="7">
    <w:abstractNumId w:val="7"/>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4"/>
  </w:num>
  <w:num w:numId="10">
    <w:abstractNumId w:val="10"/>
  </w:num>
  <w:num w:numId="11">
    <w:abstractNumId w:val="11"/>
  </w:num>
  <w:num w:numId="12">
    <w:abstractNumId w:val="14"/>
  </w:num>
  <w:num w:numId="13">
    <w:abstractNumId w:val="9"/>
  </w:num>
  <w:num w:numId="14">
    <w:abstractNumId w:val="5"/>
  </w:num>
  <w:num w:numId="15">
    <w:abstractNumId w:val="13"/>
  </w:num>
  <w:num w:numId="16">
    <w:abstractNumId w:val="8"/>
  </w:num>
  <w:num w:numId="17">
    <w:abstractNumId w:val="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79"/>
    <w:rsid w:val="00003184"/>
    <w:rsid w:val="00005A17"/>
    <w:rsid w:val="00010E6C"/>
    <w:rsid w:val="0002036F"/>
    <w:rsid w:val="000361C4"/>
    <w:rsid w:val="00036FAF"/>
    <w:rsid w:val="00045C12"/>
    <w:rsid w:val="00056E7B"/>
    <w:rsid w:val="0006259F"/>
    <w:rsid w:val="00062F2D"/>
    <w:rsid w:val="000638F6"/>
    <w:rsid w:val="00063EE2"/>
    <w:rsid w:val="00064DBB"/>
    <w:rsid w:val="00072F73"/>
    <w:rsid w:val="00074EB6"/>
    <w:rsid w:val="00077172"/>
    <w:rsid w:val="000803DA"/>
    <w:rsid w:val="00080C8E"/>
    <w:rsid w:val="000867C3"/>
    <w:rsid w:val="00086945"/>
    <w:rsid w:val="00092CF9"/>
    <w:rsid w:val="000934AB"/>
    <w:rsid w:val="00094C91"/>
    <w:rsid w:val="00095A2E"/>
    <w:rsid w:val="000A0AF7"/>
    <w:rsid w:val="000A25D5"/>
    <w:rsid w:val="000A334F"/>
    <w:rsid w:val="000A58AE"/>
    <w:rsid w:val="000A69C3"/>
    <w:rsid w:val="000B1B9E"/>
    <w:rsid w:val="000B7AF4"/>
    <w:rsid w:val="000B7F3E"/>
    <w:rsid w:val="000C06B9"/>
    <w:rsid w:val="000C2A63"/>
    <w:rsid w:val="000D15D4"/>
    <w:rsid w:val="000D5345"/>
    <w:rsid w:val="000D5BDB"/>
    <w:rsid w:val="000E5502"/>
    <w:rsid w:val="000F07BB"/>
    <w:rsid w:val="000F2A08"/>
    <w:rsid w:val="000F2B54"/>
    <w:rsid w:val="000F4062"/>
    <w:rsid w:val="000F7976"/>
    <w:rsid w:val="0010169E"/>
    <w:rsid w:val="001020AB"/>
    <w:rsid w:val="001045AC"/>
    <w:rsid w:val="00107EE0"/>
    <w:rsid w:val="00121122"/>
    <w:rsid w:val="00127C19"/>
    <w:rsid w:val="00132E97"/>
    <w:rsid w:val="00136BCD"/>
    <w:rsid w:val="00136BF5"/>
    <w:rsid w:val="00143AF2"/>
    <w:rsid w:val="001502BD"/>
    <w:rsid w:val="00150815"/>
    <w:rsid w:val="00153A48"/>
    <w:rsid w:val="00155E07"/>
    <w:rsid w:val="0016130B"/>
    <w:rsid w:val="00165BC2"/>
    <w:rsid w:val="00165D8A"/>
    <w:rsid w:val="00167C8E"/>
    <w:rsid w:val="00181FB9"/>
    <w:rsid w:val="00182A53"/>
    <w:rsid w:val="00185F30"/>
    <w:rsid w:val="0019036D"/>
    <w:rsid w:val="0019157D"/>
    <w:rsid w:val="001917D1"/>
    <w:rsid w:val="001954CC"/>
    <w:rsid w:val="001975A9"/>
    <w:rsid w:val="001A6347"/>
    <w:rsid w:val="001A6DE0"/>
    <w:rsid w:val="001B2296"/>
    <w:rsid w:val="001B42EA"/>
    <w:rsid w:val="001C0821"/>
    <w:rsid w:val="001C214F"/>
    <w:rsid w:val="001C235C"/>
    <w:rsid w:val="001C32AF"/>
    <w:rsid w:val="001C60C4"/>
    <w:rsid w:val="001D288D"/>
    <w:rsid w:val="001D29CE"/>
    <w:rsid w:val="001D319F"/>
    <w:rsid w:val="001D7744"/>
    <w:rsid w:val="001E232E"/>
    <w:rsid w:val="001F027C"/>
    <w:rsid w:val="001F4000"/>
    <w:rsid w:val="001F62FB"/>
    <w:rsid w:val="001F6B59"/>
    <w:rsid w:val="001F7D85"/>
    <w:rsid w:val="00200918"/>
    <w:rsid w:val="00201843"/>
    <w:rsid w:val="00210DE3"/>
    <w:rsid w:val="00213B9D"/>
    <w:rsid w:val="00220576"/>
    <w:rsid w:val="00221713"/>
    <w:rsid w:val="00227D7E"/>
    <w:rsid w:val="002356DF"/>
    <w:rsid w:val="00241109"/>
    <w:rsid w:val="0024162D"/>
    <w:rsid w:val="00245D0A"/>
    <w:rsid w:val="002560C6"/>
    <w:rsid w:val="00257C0B"/>
    <w:rsid w:val="00271D91"/>
    <w:rsid w:val="00277E6C"/>
    <w:rsid w:val="00281934"/>
    <w:rsid w:val="00285495"/>
    <w:rsid w:val="002863E9"/>
    <w:rsid w:val="002A2A51"/>
    <w:rsid w:val="002A75DD"/>
    <w:rsid w:val="002B2EC3"/>
    <w:rsid w:val="002B3A0E"/>
    <w:rsid w:val="002C5FAC"/>
    <w:rsid w:val="002D0AA6"/>
    <w:rsid w:val="002D46AA"/>
    <w:rsid w:val="002D7232"/>
    <w:rsid w:val="002E225A"/>
    <w:rsid w:val="002E4D3F"/>
    <w:rsid w:val="002F594D"/>
    <w:rsid w:val="00301369"/>
    <w:rsid w:val="00304955"/>
    <w:rsid w:val="00304D27"/>
    <w:rsid w:val="00310CBD"/>
    <w:rsid w:val="00310E1F"/>
    <w:rsid w:val="00317FD7"/>
    <w:rsid w:val="00320C80"/>
    <w:rsid w:val="00323472"/>
    <w:rsid w:val="003243FB"/>
    <w:rsid w:val="003343E4"/>
    <w:rsid w:val="0033612E"/>
    <w:rsid w:val="00340E8F"/>
    <w:rsid w:val="0034344A"/>
    <w:rsid w:val="003440A8"/>
    <w:rsid w:val="00344EEE"/>
    <w:rsid w:val="00345C4A"/>
    <w:rsid w:val="00352BF7"/>
    <w:rsid w:val="0035397A"/>
    <w:rsid w:val="00355379"/>
    <w:rsid w:val="0036445A"/>
    <w:rsid w:val="00367740"/>
    <w:rsid w:val="00371023"/>
    <w:rsid w:val="0037464C"/>
    <w:rsid w:val="00376BDC"/>
    <w:rsid w:val="0037738A"/>
    <w:rsid w:val="00380C97"/>
    <w:rsid w:val="00383CFE"/>
    <w:rsid w:val="003873EB"/>
    <w:rsid w:val="00387E07"/>
    <w:rsid w:val="0039453C"/>
    <w:rsid w:val="003A1D9A"/>
    <w:rsid w:val="003A5AF2"/>
    <w:rsid w:val="003B09D0"/>
    <w:rsid w:val="003B37D4"/>
    <w:rsid w:val="003B3E12"/>
    <w:rsid w:val="003C1F81"/>
    <w:rsid w:val="003C224A"/>
    <w:rsid w:val="003C426C"/>
    <w:rsid w:val="003D5C04"/>
    <w:rsid w:val="003F4B70"/>
    <w:rsid w:val="00401D4D"/>
    <w:rsid w:val="00405005"/>
    <w:rsid w:val="00410088"/>
    <w:rsid w:val="004110B2"/>
    <w:rsid w:val="00416652"/>
    <w:rsid w:val="00417604"/>
    <w:rsid w:val="004212FA"/>
    <w:rsid w:val="004228D5"/>
    <w:rsid w:val="00427CEC"/>
    <w:rsid w:val="00431BCB"/>
    <w:rsid w:val="004438E8"/>
    <w:rsid w:val="00444E2C"/>
    <w:rsid w:val="00445877"/>
    <w:rsid w:val="00447FC9"/>
    <w:rsid w:val="0045153D"/>
    <w:rsid w:val="004527B2"/>
    <w:rsid w:val="00453A6B"/>
    <w:rsid w:val="00463368"/>
    <w:rsid w:val="00463523"/>
    <w:rsid w:val="0046677F"/>
    <w:rsid w:val="00470162"/>
    <w:rsid w:val="004731A5"/>
    <w:rsid w:val="00474550"/>
    <w:rsid w:val="00483B5B"/>
    <w:rsid w:val="004848F2"/>
    <w:rsid w:val="004850D8"/>
    <w:rsid w:val="00495049"/>
    <w:rsid w:val="00497391"/>
    <w:rsid w:val="004A156B"/>
    <w:rsid w:val="004A3CBE"/>
    <w:rsid w:val="004A60FB"/>
    <w:rsid w:val="004B2A55"/>
    <w:rsid w:val="004B4E27"/>
    <w:rsid w:val="004B7F08"/>
    <w:rsid w:val="004C3BF3"/>
    <w:rsid w:val="004C4FB9"/>
    <w:rsid w:val="004E0057"/>
    <w:rsid w:val="004E29D8"/>
    <w:rsid w:val="004E497D"/>
    <w:rsid w:val="004E7A1E"/>
    <w:rsid w:val="004F171F"/>
    <w:rsid w:val="004F7C17"/>
    <w:rsid w:val="00501729"/>
    <w:rsid w:val="0050457A"/>
    <w:rsid w:val="00506152"/>
    <w:rsid w:val="005061FA"/>
    <w:rsid w:val="005129B1"/>
    <w:rsid w:val="00512A57"/>
    <w:rsid w:val="00517195"/>
    <w:rsid w:val="00521E5E"/>
    <w:rsid w:val="005242DD"/>
    <w:rsid w:val="00524C7A"/>
    <w:rsid w:val="00531FA0"/>
    <w:rsid w:val="005325FD"/>
    <w:rsid w:val="00535048"/>
    <w:rsid w:val="00540C18"/>
    <w:rsid w:val="00541D67"/>
    <w:rsid w:val="0054580E"/>
    <w:rsid w:val="005503E2"/>
    <w:rsid w:val="00556D20"/>
    <w:rsid w:val="00556FB7"/>
    <w:rsid w:val="00557C60"/>
    <w:rsid w:val="00561AFF"/>
    <w:rsid w:val="00565F64"/>
    <w:rsid w:val="00572CC5"/>
    <w:rsid w:val="00576218"/>
    <w:rsid w:val="00586AD4"/>
    <w:rsid w:val="005964EA"/>
    <w:rsid w:val="00597717"/>
    <w:rsid w:val="005A466C"/>
    <w:rsid w:val="005A778A"/>
    <w:rsid w:val="005C4C53"/>
    <w:rsid w:val="005C4E5A"/>
    <w:rsid w:val="005C60B5"/>
    <w:rsid w:val="005D0094"/>
    <w:rsid w:val="005D0341"/>
    <w:rsid w:val="005D6949"/>
    <w:rsid w:val="005F22E0"/>
    <w:rsid w:val="005F6131"/>
    <w:rsid w:val="00601CA9"/>
    <w:rsid w:val="00602D02"/>
    <w:rsid w:val="0060457A"/>
    <w:rsid w:val="00610BCE"/>
    <w:rsid w:val="00610DE2"/>
    <w:rsid w:val="00610FB2"/>
    <w:rsid w:val="00612223"/>
    <w:rsid w:val="00621D8F"/>
    <w:rsid w:val="00625035"/>
    <w:rsid w:val="00625165"/>
    <w:rsid w:val="006326D5"/>
    <w:rsid w:val="00637C7E"/>
    <w:rsid w:val="0066047B"/>
    <w:rsid w:val="00666361"/>
    <w:rsid w:val="0066641A"/>
    <w:rsid w:val="00667F1B"/>
    <w:rsid w:val="00671612"/>
    <w:rsid w:val="00671C32"/>
    <w:rsid w:val="00672501"/>
    <w:rsid w:val="00672E29"/>
    <w:rsid w:val="00673523"/>
    <w:rsid w:val="00673B05"/>
    <w:rsid w:val="0067680F"/>
    <w:rsid w:val="00680C57"/>
    <w:rsid w:val="00687597"/>
    <w:rsid w:val="00692E13"/>
    <w:rsid w:val="00693391"/>
    <w:rsid w:val="0069720C"/>
    <w:rsid w:val="00697632"/>
    <w:rsid w:val="006A367C"/>
    <w:rsid w:val="006A41FE"/>
    <w:rsid w:val="006B1001"/>
    <w:rsid w:val="006B155D"/>
    <w:rsid w:val="006B1777"/>
    <w:rsid w:val="006B4178"/>
    <w:rsid w:val="006B5532"/>
    <w:rsid w:val="006C6028"/>
    <w:rsid w:val="006D4DAD"/>
    <w:rsid w:val="006E105D"/>
    <w:rsid w:val="006E520C"/>
    <w:rsid w:val="006F0925"/>
    <w:rsid w:val="00703E7D"/>
    <w:rsid w:val="007065B0"/>
    <w:rsid w:val="0070767D"/>
    <w:rsid w:val="00714FD2"/>
    <w:rsid w:val="00722D91"/>
    <w:rsid w:val="00731D2C"/>
    <w:rsid w:val="007446C6"/>
    <w:rsid w:val="007507A4"/>
    <w:rsid w:val="00751534"/>
    <w:rsid w:val="0075164F"/>
    <w:rsid w:val="00753E6B"/>
    <w:rsid w:val="00754A78"/>
    <w:rsid w:val="00755334"/>
    <w:rsid w:val="00755A9D"/>
    <w:rsid w:val="007572DE"/>
    <w:rsid w:val="00760531"/>
    <w:rsid w:val="00760DA0"/>
    <w:rsid w:val="00762226"/>
    <w:rsid w:val="00764B69"/>
    <w:rsid w:val="00772664"/>
    <w:rsid w:val="00777872"/>
    <w:rsid w:val="007804DC"/>
    <w:rsid w:val="00786355"/>
    <w:rsid w:val="007930B2"/>
    <w:rsid w:val="007A2D23"/>
    <w:rsid w:val="007A4BB1"/>
    <w:rsid w:val="007A640D"/>
    <w:rsid w:val="007A6530"/>
    <w:rsid w:val="007A7F09"/>
    <w:rsid w:val="007B181B"/>
    <w:rsid w:val="007B1E3B"/>
    <w:rsid w:val="007B2258"/>
    <w:rsid w:val="007B2476"/>
    <w:rsid w:val="007B5914"/>
    <w:rsid w:val="007C1832"/>
    <w:rsid w:val="007C456A"/>
    <w:rsid w:val="007D5486"/>
    <w:rsid w:val="007D6195"/>
    <w:rsid w:val="007E143D"/>
    <w:rsid w:val="007E17A0"/>
    <w:rsid w:val="007E54B4"/>
    <w:rsid w:val="007F1618"/>
    <w:rsid w:val="007F3D40"/>
    <w:rsid w:val="00802CF1"/>
    <w:rsid w:val="00802DED"/>
    <w:rsid w:val="00806D2C"/>
    <w:rsid w:val="008100E5"/>
    <w:rsid w:val="008142CE"/>
    <w:rsid w:val="00820D63"/>
    <w:rsid w:val="008231C1"/>
    <w:rsid w:val="00825C4B"/>
    <w:rsid w:val="00827028"/>
    <w:rsid w:val="00827BFA"/>
    <w:rsid w:val="00842F1A"/>
    <w:rsid w:val="00843A96"/>
    <w:rsid w:val="00843E87"/>
    <w:rsid w:val="00844CBE"/>
    <w:rsid w:val="00855388"/>
    <w:rsid w:val="00860B29"/>
    <w:rsid w:val="00861D8C"/>
    <w:rsid w:val="008654EB"/>
    <w:rsid w:val="008663D7"/>
    <w:rsid w:val="00874DC5"/>
    <w:rsid w:val="00880CB9"/>
    <w:rsid w:val="00881DCF"/>
    <w:rsid w:val="00887D03"/>
    <w:rsid w:val="00897363"/>
    <w:rsid w:val="008977BE"/>
    <w:rsid w:val="008A4A84"/>
    <w:rsid w:val="008A5DCD"/>
    <w:rsid w:val="008B4A2B"/>
    <w:rsid w:val="008B5890"/>
    <w:rsid w:val="008C4D5A"/>
    <w:rsid w:val="008C587F"/>
    <w:rsid w:val="008C76FC"/>
    <w:rsid w:val="008D4648"/>
    <w:rsid w:val="008D76A4"/>
    <w:rsid w:val="008D7CF8"/>
    <w:rsid w:val="008F1E44"/>
    <w:rsid w:val="008F24BC"/>
    <w:rsid w:val="009015A4"/>
    <w:rsid w:val="009028F6"/>
    <w:rsid w:val="00902AB0"/>
    <w:rsid w:val="00912BC4"/>
    <w:rsid w:val="009230E9"/>
    <w:rsid w:val="009305D0"/>
    <w:rsid w:val="009311CF"/>
    <w:rsid w:val="009425CB"/>
    <w:rsid w:val="00943E86"/>
    <w:rsid w:val="00945BA8"/>
    <w:rsid w:val="00953A90"/>
    <w:rsid w:val="00956111"/>
    <w:rsid w:val="00960733"/>
    <w:rsid w:val="00960D13"/>
    <w:rsid w:val="0096536B"/>
    <w:rsid w:val="00967E31"/>
    <w:rsid w:val="0097165C"/>
    <w:rsid w:val="00972D73"/>
    <w:rsid w:val="009933C7"/>
    <w:rsid w:val="0099451E"/>
    <w:rsid w:val="0099637B"/>
    <w:rsid w:val="009A0107"/>
    <w:rsid w:val="009A44AB"/>
    <w:rsid w:val="009A5BCD"/>
    <w:rsid w:val="009B03FB"/>
    <w:rsid w:val="009B58C5"/>
    <w:rsid w:val="009C52D0"/>
    <w:rsid w:val="009C6A50"/>
    <w:rsid w:val="009E1AFB"/>
    <w:rsid w:val="009E5566"/>
    <w:rsid w:val="009E5A14"/>
    <w:rsid w:val="009F3A46"/>
    <w:rsid w:val="00A0618B"/>
    <w:rsid w:val="00A06229"/>
    <w:rsid w:val="00A0754E"/>
    <w:rsid w:val="00A14938"/>
    <w:rsid w:val="00A31132"/>
    <w:rsid w:val="00A3704B"/>
    <w:rsid w:val="00A431B2"/>
    <w:rsid w:val="00A431FA"/>
    <w:rsid w:val="00A443B8"/>
    <w:rsid w:val="00A503B5"/>
    <w:rsid w:val="00A53668"/>
    <w:rsid w:val="00A55D54"/>
    <w:rsid w:val="00A64B7D"/>
    <w:rsid w:val="00A65F07"/>
    <w:rsid w:val="00A66A86"/>
    <w:rsid w:val="00A710B8"/>
    <w:rsid w:val="00A722DE"/>
    <w:rsid w:val="00A81E25"/>
    <w:rsid w:val="00A83298"/>
    <w:rsid w:val="00AA40C2"/>
    <w:rsid w:val="00AA6166"/>
    <w:rsid w:val="00AB6CA0"/>
    <w:rsid w:val="00AC0F76"/>
    <w:rsid w:val="00AC4BC8"/>
    <w:rsid w:val="00AD6F5A"/>
    <w:rsid w:val="00AD7B13"/>
    <w:rsid w:val="00AE453E"/>
    <w:rsid w:val="00AF4F78"/>
    <w:rsid w:val="00AF7F8B"/>
    <w:rsid w:val="00B04666"/>
    <w:rsid w:val="00B05545"/>
    <w:rsid w:val="00B07E24"/>
    <w:rsid w:val="00B101B3"/>
    <w:rsid w:val="00B164AB"/>
    <w:rsid w:val="00B2007A"/>
    <w:rsid w:val="00B208AA"/>
    <w:rsid w:val="00B22588"/>
    <w:rsid w:val="00B25DF2"/>
    <w:rsid w:val="00B2798F"/>
    <w:rsid w:val="00B33950"/>
    <w:rsid w:val="00B340F5"/>
    <w:rsid w:val="00B41531"/>
    <w:rsid w:val="00B465BB"/>
    <w:rsid w:val="00B52B32"/>
    <w:rsid w:val="00B530E0"/>
    <w:rsid w:val="00B53242"/>
    <w:rsid w:val="00B533FE"/>
    <w:rsid w:val="00B60487"/>
    <w:rsid w:val="00B70AF8"/>
    <w:rsid w:val="00B7218B"/>
    <w:rsid w:val="00B760A8"/>
    <w:rsid w:val="00B8041C"/>
    <w:rsid w:val="00B829EA"/>
    <w:rsid w:val="00B90304"/>
    <w:rsid w:val="00BA0904"/>
    <w:rsid w:val="00BA4DA4"/>
    <w:rsid w:val="00BA6E25"/>
    <w:rsid w:val="00BB0E68"/>
    <w:rsid w:val="00BB2976"/>
    <w:rsid w:val="00BB76F1"/>
    <w:rsid w:val="00BC198A"/>
    <w:rsid w:val="00BC46AD"/>
    <w:rsid w:val="00BC648C"/>
    <w:rsid w:val="00BD0B7A"/>
    <w:rsid w:val="00BD5407"/>
    <w:rsid w:val="00BD57A2"/>
    <w:rsid w:val="00BD6799"/>
    <w:rsid w:val="00BE27E6"/>
    <w:rsid w:val="00BE333E"/>
    <w:rsid w:val="00BE563E"/>
    <w:rsid w:val="00BE6917"/>
    <w:rsid w:val="00BE75D9"/>
    <w:rsid w:val="00BF0182"/>
    <w:rsid w:val="00BF28FD"/>
    <w:rsid w:val="00BF7DF6"/>
    <w:rsid w:val="00C01930"/>
    <w:rsid w:val="00C0414F"/>
    <w:rsid w:val="00C10605"/>
    <w:rsid w:val="00C2285A"/>
    <w:rsid w:val="00C3549A"/>
    <w:rsid w:val="00C3674F"/>
    <w:rsid w:val="00C47E61"/>
    <w:rsid w:val="00C54505"/>
    <w:rsid w:val="00C55011"/>
    <w:rsid w:val="00C55D2C"/>
    <w:rsid w:val="00C67593"/>
    <w:rsid w:val="00C735E2"/>
    <w:rsid w:val="00C74160"/>
    <w:rsid w:val="00C76780"/>
    <w:rsid w:val="00C771B8"/>
    <w:rsid w:val="00C801ED"/>
    <w:rsid w:val="00C81C27"/>
    <w:rsid w:val="00C8261E"/>
    <w:rsid w:val="00C858D9"/>
    <w:rsid w:val="00C91C84"/>
    <w:rsid w:val="00C96D30"/>
    <w:rsid w:val="00CA2C6F"/>
    <w:rsid w:val="00CA5157"/>
    <w:rsid w:val="00CC2634"/>
    <w:rsid w:val="00CC4113"/>
    <w:rsid w:val="00CC6010"/>
    <w:rsid w:val="00CE3B2A"/>
    <w:rsid w:val="00CE4179"/>
    <w:rsid w:val="00CE474B"/>
    <w:rsid w:val="00CE6BF4"/>
    <w:rsid w:val="00CF066D"/>
    <w:rsid w:val="00CF0E22"/>
    <w:rsid w:val="00D031D8"/>
    <w:rsid w:val="00D05631"/>
    <w:rsid w:val="00D06DC5"/>
    <w:rsid w:val="00D25E01"/>
    <w:rsid w:val="00D301F1"/>
    <w:rsid w:val="00D3623E"/>
    <w:rsid w:val="00D36A9F"/>
    <w:rsid w:val="00D37A76"/>
    <w:rsid w:val="00D4435A"/>
    <w:rsid w:val="00D5107C"/>
    <w:rsid w:val="00D5588D"/>
    <w:rsid w:val="00D64E8D"/>
    <w:rsid w:val="00D66805"/>
    <w:rsid w:val="00D741C6"/>
    <w:rsid w:val="00D75262"/>
    <w:rsid w:val="00D92A1F"/>
    <w:rsid w:val="00D9561B"/>
    <w:rsid w:val="00DA266C"/>
    <w:rsid w:val="00DA3F1B"/>
    <w:rsid w:val="00DA4B3B"/>
    <w:rsid w:val="00DA7264"/>
    <w:rsid w:val="00DA758A"/>
    <w:rsid w:val="00DB43A8"/>
    <w:rsid w:val="00DB4C82"/>
    <w:rsid w:val="00DC5C74"/>
    <w:rsid w:val="00DD38B2"/>
    <w:rsid w:val="00DD7C33"/>
    <w:rsid w:val="00DE03ED"/>
    <w:rsid w:val="00DF2B56"/>
    <w:rsid w:val="00DF2DEC"/>
    <w:rsid w:val="00DF5F5E"/>
    <w:rsid w:val="00E01AC2"/>
    <w:rsid w:val="00E04B40"/>
    <w:rsid w:val="00E05A55"/>
    <w:rsid w:val="00E12625"/>
    <w:rsid w:val="00E14C37"/>
    <w:rsid w:val="00E1645B"/>
    <w:rsid w:val="00E16DA4"/>
    <w:rsid w:val="00E20A0E"/>
    <w:rsid w:val="00E20C40"/>
    <w:rsid w:val="00E23079"/>
    <w:rsid w:val="00E23EA1"/>
    <w:rsid w:val="00E24DB8"/>
    <w:rsid w:val="00E24F6B"/>
    <w:rsid w:val="00E260DA"/>
    <w:rsid w:val="00E35B36"/>
    <w:rsid w:val="00E36052"/>
    <w:rsid w:val="00E40840"/>
    <w:rsid w:val="00E44767"/>
    <w:rsid w:val="00E46B7F"/>
    <w:rsid w:val="00E514EB"/>
    <w:rsid w:val="00E54824"/>
    <w:rsid w:val="00E60551"/>
    <w:rsid w:val="00E60ED7"/>
    <w:rsid w:val="00E71B93"/>
    <w:rsid w:val="00E75607"/>
    <w:rsid w:val="00E77AD5"/>
    <w:rsid w:val="00E80716"/>
    <w:rsid w:val="00E8701E"/>
    <w:rsid w:val="00E87642"/>
    <w:rsid w:val="00E92A00"/>
    <w:rsid w:val="00E96584"/>
    <w:rsid w:val="00EA0902"/>
    <w:rsid w:val="00EA649F"/>
    <w:rsid w:val="00EA78D8"/>
    <w:rsid w:val="00EB09FB"/>
    <w:rsid w:val="00EC0B93"/>
    <w:rsid w:val="00EC15B5"/>
    <w:rsid w:val="00EC38DD"/>
    <w:rsid w:val="00ED03A5"/>
    <w:rsid w:val="00ED04F5"/>
    <w:rsid w:val="00ED0BA3"/>
    <w:rsid w:val="00ED5843"/>
    <w:rsid w:val="00ED71A7"/>
    <w:rsid w:val="00ED7C3B"/>
    <w:rsid w:val="00EE20F4"/>
    <w:rsid w:val="00EE2D2F"/>
    <w:rsid w:val="00EE5363"/>
    <w:rsid w:val="00EF023A"/>
    <w:rsid w:val="00EF0660"/>
    <w:rsid w:val="00EF48B7"/>
    <w:rsid w:val="00EF725D"/>
    <w:rsid w:val="00EF7F02"/>
    <w:rsid w:val="00F00551"/>
    <w:rsid w:val="00F104A5"/>
    <w:rsid w:val="00F1632B"/>
    <w:rsid w:val="00F1651D"/>
    <w:rsid w:val="00F23E11"/>
    <w:rsid w:val="00F255C1"/>
    <w:rsid w:val="00F26AA7"/>
    <w:rsid w:val="00F276C9"/>
    <w:rsid w:val="00F30D99"/>
    <w:rsid w:val="00F45EA0"/>
    <w:rsid w:val="00F46214"/>
    <w:rsid w:val="00F55B95"/>
    <w:rsid w:val="00F63F32"/>
    <w:rsid w:val="00F667F9"/>
    <w:rsid w:val="00F73168"/>
    <w:rsid w:val="00F75DD2"/>
    <w:rsid w:val="00F75F2B"/>
    <w:rsid w:val="00F76AC5"/>
    <w:rsid w:val="00F807B7"/>
    <w:rsid w:val="00F81763"/>
    <w:rsid w:val="00F871EC"/>
    <w:rsid w:val="00F909E2"/>
    <w:rsid w:val="00F9660D"/>
    <w:rsid w:val="00FA05BD"/>
    <w:rsid w:val="00FB5B25"/>
    <w:rsid w:val="00FC0D7B"/>
    <w:rsid w:val="00FD3CFA"/>
    <w:rsid w:val="00FD41D5"/>
    <w:rsid w:val="00FD6113"/>
    <w:rsid w:val="00FD6B50"/>
    <w:rsid w:val="00FD73E3"/>
    <w:rsid w:val="00FF0D2C"/>
    <w:rsid w:val="00FF14B0"/>
    <w:rsid w:val="00FF67C3"/>
    <w:rsid w:val="00FF7284"/>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464">
      <w:bodyDiv w:val="1"/>
      <w:marLeft w:val="0"/>
      <w:marRight w:val="0"/>
      <w:marTop w:val="0"/>
      <w:marBottom w:val="0"/>
      <w:divBdr>
        <w:top w:val="none" w:sz="0" w:space="0" w:color="auto"/>
        <w:left w:val="none" w:sz="0" w:space="0" w:color="auto"/>
        <w:bottom w:val="none" w:sz="0" w:space="0" w:color="auto"/>
        <w:right w:val="none" w:sz="0" w:space="0" w:color="auto"/>
      </w:divBdr>
    </w:div>
    <w:div w:id="296687737">
      <w:bodyDiv w:val="1"/>
      <w:marLeft w:val="0"/>
      <w:marRight w:val="0"/>
      <w:marTop w:val="0"/>
      <w:marBottom w:val="0"/>
      <w:divBdr>
        <w:top w:val="none" w:sz="0" w:space="0" w:color="auto"/>
        <w:left w:val="none" w:sz="0" w:space="0" w:color="auto"/>
        <w:bottom w:val="none" w:sz="0" w:space="0" w:color="auto"/>
        <w:right w:val="none" w:sz="0" w:space="0" w:color="auto"/>
      </w:divBdr>
    </w:div>
    <w:div w:id="592588741">
      <w:bodyDiv w:val="1"/>
      <w:marLeft w:val="0"/>
      <w:marRight w:val="0"/>
      <w:marTop w:val="0"/>
      <w:marBottom w:val="0"/>
      <w:divBdr>
        <w:top w:val="none" w:sz="0" w:space="0" w:color="auto"/>
        <w:left w:val="none" w:sz="0" w:space="0" w:color="auto"/>
        <w:bottom w:val="none" w:sz="0" w:space="0" w:color="auto"/>
        <w:right w:val="none" w:sz="0" w:space="0" w:color="auto"/>
      </w:divBdr>
    </w:div>
    <w:div w:id="720904810">
      <w:bodyDiv w:val="1"/>
      <w:marLeft w:val="0"/>
      <w:marRight w:val="0"/>
      <w:marTop w:val="0"/>
      <w:marBottom w:val="0"/>
      <w:divBdr>
        <w:top w:val="none" w:sz="0" w:space="0" w:color="auto"/>
        <w:left w:val="none" w:sz="0" w:space="0" w:color="auto"/>
        <w:bottom w:val="none" w:sz="0" w:space="0" w:color="auto"/>
        <w:right w:val="none" w:sz="0" w:space="0" w:color="auto"/>
      </w:divBdr>
    </w:div>
    <w:div w:id="798841955">
      <w:bodyDiv w:val="1"/>
      <w:marLeft w:val="0"/>
      <w:marRight w:val="0"/>
      <w:marTop w:val="0"/>
      <w:marBottom w:val="0"/>
      <w:divBdr>
        <w:top w:val="none" w:sz="0" w:space="0" w:color="auto"/>
        <w:left w:val="none" w:sz="0" w:space="0" w:color="auto"/>
        <w:bottom w:val="none" w:sz="0" w:space="0" w:color="auto"/>
        <w:right w:val="none" w:sz="0" w:space="0" w:color="auto"/>
      </w:divBdr>
    </w:div>
    <w:div w:id="959264842">
      <w:bodyDiv w:val="1"/>
      <w:marLeft w:val="0"/>
      <w:marRight w:val="0"/>
      <w:marTop w:val="0"/>
      <w:marBottom w:val="0"/>
      <w:divBdr>
        <w:top w:val="none" w:sz="0" w:space="0" w:color="auto"/>
        <w:left w:val="none" w:sz="0" w:space="0" w:color="auto"/>
        <w:bottom w:val="none" w:sz="0" w:space="0" w:color="auto"/>
        <w:right w:val="none" w:sz="0" w:space="0" w:color="auto"/>
      </w:divBdr>
    </w:div>
    <w:div w:id="983048238">
      <w:bodyDiv w:val="1"/>
      <w:marLeft w:val="0"/>
      <w:marRight w:val="0"/>
      <w:marTop w:val="0"/>
      <w:marBottom w:val="0"/>
      <w:divBdr>
        <w:top w:val="none" w:sz="0" w:space="0" w:color="auto"/>
        <w:left w:val="none" w:sz="0" w:space="0" w:color="auto"/>
        <w:bottom w:val="none" w:sz="0" w:space="0" w:color="auto"/>
        <w:right w:val="none" w:sz="0" w:space="0" w:color="auto"/>
      </w:divBdr>
    </w:div>
    <w:div w:id="988635973">
      <w:bodyDiv w:val="1"/>
      <w:marLeft w:val="0"/>
      <w:marRight w:val="0"/>
      <w:marTop w:val="0"/>
      <w:marBottom w:val="0"/>
      <w:divBdr>
        <w:top w:val="none" w:sz="0" w:space="0" w:color="auto"/>
        <w:left w:val="none" w:sz="0" w:space="0" w:color="auto"/>
        <w:bottom w:val="none" w:sz="0" w:space="0" w:color="auto"/>
        <w:right w:val="none" w:sz="0" w:space="0" w:color="auto"/>
      </w:divBdr>
    </w:div>
    <w:div w:id="990526823">
      <w:bodyDiv w:val="1"/>
      <w:marLeft w:val="0"/>
      <w:marRight w:val="0"/>
      <w:marTop w:val="0"/>
      <w:marBottom w:val="0"/>
      <w:divBdr>
        <w:top w:val="none" w:sz="0" w:space="0" w:color="auto"/>
        <w:left w:val="none" w:sz="0" w:space="0" w:color="auto"/>
        <w:bottom w:val="none" w:sz="0" w:space="0" w:color="auto"/>
        <w:right w:val="none" w:sz="0" w:space="0" w:color="auto"/>
      </w:divBdr>
    </w:div>
    <w:div w:id="1246720061">
      <w:bodyDiv w:val="1"/>
      <w:marLeft w:val="0"/>
      <w:marRight w:val="0"/>
      <w:marTop w:val="0"/>
      <w:marBottom w:val="0"/>
      <w:divBdr>
        <w:top w:val="none" w:sz="0" w:space="0" w:color="auto"/>
        <w:left w:val="none" w:sz="0" w:space="0" w:color="auto"/>
        <w:bottom w:val="none" w:sz="0" w:space="0" w:color="auto"/>
        <w:right w:val="none" w:sz="0" w:space="0" w:color="auto"/>
      </w:divBdr>
    </w:div>
    <w:div w:id="1315642414">
      <w:bodyDiv w:val="1"/>
      <w:marLeft w:val="0"/>
      <w:marRight w:val="0"/>
      <w:marTop w:val="0"/>
      <w:marBottom w:val="0"/>
      <w:divBdr>
        <w:top w:val="none" w:sz="0" w:space="0" w:color="auto"/>
        <w:left w:val="none" w:sz="0" w:space="0" w:color="auto"/>
        <w:bottom w:val="none" w:sz="0" w:space="0" w:color="auto"/>
        <w:right w:val="none" w:sz="0" w:space="0" w:color="auto"/>
      </w:divBdr>
    </w:div>
    <w:div w:id="1396932458">
      <w:bodyDiv w:val="1"/>
      <w:marLeft w:val="0"/>
      <w:marRight w:val="0"/>
      <w:marTop w:val="0"/>
      <w:marBottom w:val="0"/>
      <w:divBdr>
        <w:top w:val="none" w:sz="0" w:space="0" w:color="auto"/>
        <w:left w:val="none" w:sz="0" w:space="0" w:color="auto"/>
        <w:bottom w:val="none" w:sz="0" w:space="0" w:color="auto"/>
        <w:right w:val="none" w:sz="0" w:space="0" w:color="auto"/>
      </w:divBdr>
    </w:div>
    <w:div w:id="1453018317">
      <w:bodyDiv w:val="1"/>
      <w:marLeft w:val="0"/>
      <w:marRight w:val="0"/>
      <w:marTop w:val="0"/>
      <w:marBottom w:val="0"/>
      <w:divBdr>
        <w:top w:val="none" w:sz="0" w:space="0" w:color="auto"/>
        <w:left w:val="none" w:sz="0" w:space="0" w:color="auto"/>
        <w:bottom w:val="none" w:sz="0" w:space="0" w:color="auto"/>
        <w:right w:val="none" w:sz="0" w:space="0" w:color="auto"/>
      </w:divBdr>
    </w:div>
    <w:div w:id="1583756797">
      <w:bodyDiv w:val="1"/>
      <w:marLeft w:val="0"/>
      <w:marRight w:val="0"/>
      <w:marTop w:val="0"/>
      <w:marBottom w:val="0"/>
      <w:divBdr>
        <w:top w:val="none" w:sz="0" w:space="0" w:color="auto"/>
        <w:left w:val="none" w:sz="0" w:space="0" w:color="auto"/>
        <w:bottom w:val="none" w:sz="0" w:space="0" w:color="auto"/>
        <w:right w:val="none" w:sz="0" w:space="0" w:color="auto"/>
      </w:divBdr>
    </w:div>
    <w:div w:id="1597207777">
      <w:bodyDiv w:val="1"/>
      <w:marLeft w:val="0"/>
      <w:marRight w:val="0"/>
      <w:marTop w:val="0"/>
      <w:marBottom w:val="0"/>
      <w:divBdr>
        <w:top w:val="none" w:sz="0" w:space="0" w:color="auto"/>
        <w:left w:val="none" w:sz="0" w:space="0" w:color="auto"/>
        <w:bottom w:val="none" w:sz="0" w:space="0" w:color="auto"/>
        <w:right w:val="none" w:sz="0" w:space="0" w:color="auto"/>
      </w:divBdr>
    </w:div>
    <w:div w:id="1708796002">
      <w:bodyDiv w:val="1"/>
      <w:marLeft w:val="0"/>
      <w:marRight w:val="0"/>
      <w:marTop w:val="0"/>
      <w:marBottom w:val="0"/>
      <w:divBdr>
        <w:top w:val="none" w:sz="0" w:space="0" w:color="auto"/>
        <w:left w:val="none" w:sz="0" w:space="0" w:color="auto"/>
        <w:bottom w:val="none" w:sz="0" w:space="0" w:color="auto"/>
        <w:right w:val="none" w:sz="0" w:space="0" w:color="auto"/>
      </w:divBdr>
    </w:div>
    <w:div w:id="1793405417">
      <w:bodyDiv w:val="1"/>
      <w:marLeft w:val="0"/>
      <w:marRight w:val="0"/>
      <w:marTop w:val="0"/>
      <w:marBottom w:val="0"/>
      <w:divBdr>
        <w:top w:val="none" w:sz="0" w:space="0" w:color="auto"/>
        <w:left w:val="none" w:sz="0" w:space="0" w:color="auto"/>
        <w:bottom w:val="none" w:sz="0" w:space="0" w:color="auto"/>
        <w:right w:val="none" w:sz="0" w:space="0" w:color="auto"/>
      </w:divBdr>
    </w:div>
    <w:div w:id="1814832202">
      <w:bodyDiv w:val="1"/>
      <w:marLeft w:val="0"/>
      <w:marRight w:val="0"/>
      <w:marTop w:val="0"/>
      <w:marBottom w:val="0"/>
      <w:divBdr>
        <w:top w:val="none" w:sz="0" w:space="0" w:color="auto"/>
        <w:left w:val="none" w:sz="0" w:space="0" w:color="auto"/>
        <w:bottom w:val="none" w:sz="0" w:space="0" w:color="auto"/>
        <w:right w:val="none" w:sz="0" w:space="0" w:color="auto"/>
      </w:divBdr>
    </w:div>
    <w:div w:id="1870216283">
      <w:bodyDiv w:val="1"/>
      <w:marLeft w:val="0"/>
      <w:marRight w:val="0"/>
      <w:marTop w:val="0"/>
      <w:marBottom w:val="0"/>
      <w:divBdr>
        <w:top w:val="none" w:sz="0" w:space="0" w:color="auto"/>
        <w:left w:val="none" w:sz="0" w:space="0" w:color="auto"/>
        <w:bottom w:val="none" w:sz="0" w:space="0" w:color="auto"/>
        <w:right w:val="none" w:sz="0" w:space="0" w:color="auto"/>
      </w:divBdr>
    </w:div>
    <w:div w:id="18856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41FA-6018-4BE0-9AF6-B8D2EBF1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1697</Words>
  <Characters>9673</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Mirjana Prpić</cp:lastModifiedBy>
  <cp:revision>3</cp:revision>
  <cp:lastPrinted>2024-02-14T08:53:00Z</cp:lastPrinted>
  <dcterms:created xsi:type="dcterms:W3CDTF">2024-02-19T13:19:00Z</dcterms:created>
  <dcterms:modified xsi:type="dcterms:W3CDTF">2024-02-19T13:24:00Z</dcterms:modified>
</cp:coreProperties>
</file>