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012" w:rsidRDefault="002C3387">
      <w:pPr>
        <w:spacing w:after="0" w:line="240" w:lineRule="auto"/>
        <w:jc w:val="both"/>
        <w:rPr>
          <w:rFonts w:ascii="Calibri" w:eastAsia="Times New Roman" w:hAnsi="Calibri" w:cs="Times New Roman"/>
          <w:sz w:val="24"/>
          <w:szCs w:val="24"/>
          <w:lang w:eastAsia="hr-HR"/>
        </w:rPr>
      </w:pPr>
      <w:r>
        <w:rPr>
          <w:rFonts w:eastAsia="Times New Roman" w:cs="Times New Roman"/>
          <w:sz w:val="24"/>
          <w:szCs w:val="24"/>
          <w:lang w:eastAsia="hr-HR"/>
        </w:rPr>
        <w:t xml:space="preserve">Na temelju članka 35. Zakona o lokalnoj i područnoj (regionalnoj) samoupravi ("Narodne novine" broj 33/01, 60/01, 129/05, 109/07, 125/08, 36/09, 36/09, 150/11, 144/12, 19/13, 137/15, 123/17, 98/19), Odluke Stožera civilne zaštite Republike Hrvatske od dana 19. ožujka 2020. godine, KLASA 810-06/20-01/7, URBROJ 511-01-300-20-1, članka 95. stavka 2. Zakona o komunalnom gospodarstvu („Narodne novine“ broj 68/18, 110/18, 32/20), Odluke Ministarstva graditeljstva i prostornog uređenja, KLASA 804-08/20-01/1, URBROJ 531-01-20-1 od 20. ožujka 2020. godine i članka 34. Statuta Općine Viškovo („Službene novine Općine Viškovo“ broj 3/18, 2/20), Općinsko vijeće Općine Viškovo na sjednici održanoj dana </w:t>
      </w:r>
      <w:r>
        <w:rPr>
          <w:rFonts w:eastAsia="Times New Roman" w:cs="Times New Roman"/>
          <w:sz w:val="24"/>
          <w:szCs w:val="24"/>
          <w:lang w:eastAsia="hr-HR"/>
        </w:rPr>
        <w:tab/>
      </w:r>
      <w:r>
        <w:rPr>
          <w:rFonts w:eastAsia="Times New Roman" w:cs="Times New Roman"/>
          <w:sz w:val="24"/>
          <w:szCs w:val="24"/>
          <w:lang w:eastAsia="hr-HR"/>
        </w:rPr>
        <w:tab/>
        <w:t xml:space="preserve">  travnja 2020. godine, donosi</w:t>
      </w:r>
    </w:p>
    <w:p w:rsidR="00106012" w:rsidRDefault="00106012">
      <w:pPr>
        <w:spacing w:after="0" w:line="240" w:lineRule="auto"/>
        <w:jc w:val="both"/>
        <w:rPr>
          <w:rFonts w:ascii="Calibri" w:eastAsia="Times New Roman" w:hAnsi="Calibri" w:cs="Times New Roman"/>
          <w:b/>
          <w:sz w:val="24"/>
          <w:szCs w:val="24"/>
          <w:lang w:eastAsia="hr-HR"/>
        </w:rPr>
      </w:pPr>
    </w:p>
    <w:p w:rsidR="00106012" w:rsidRDefault="002C3387">
      <w:pPr>
        <w:spacing w:after="0" w:line="240" w:lineRule="auto"/>
        <w:jc w:val="center"/>
        <w:rPr>
          <w:rFonts w:ascii="Calibri" w:eastAsia="Times New Roman" w:hAnsi="Calibri" w:cs="Times New Roman"/>
          <w:b/>
          <w:sz w:val="24"/>
          <w:szCs w:val="24"/>
          <w:lang w:eastAsia="hr-HR"/>
        </w:rPr>
      </w:pPr>
      <w:r>
        <w:rPr>
          <w:rFonts w:eastAsia="Times New Roman" w:cs="Times New Roman"/>
          <w:b/>
          <w:sz w:val="24"/>
          <w:szCs w:val="24"/>
          <w:lang w:eastAsia="hr-HR"/>
        </w:rPr>
        <w:t>O D L U K U</w:t>
      </w:r>
    </w:p>
    <w:p w:rsidR="00106012" w:rsidRDefault="002C3387">
      <w:pPr>
        <w:spacing w:after="0" w:line="240" w:lineRule="auto"/>
        <w:jc w:val="center"/>
        <w:rPr>
          <w:rFonts w:ascii="Calibri" w:eastAsia="Times New Roman" w:hAnsi="Calibri" w:cs="Times New Roman"/>
          <w:b/>
          <w:sz w:val="24"/>
          <w:szCs w:val="24"/>
          <w:lang w:eastAsia="hr-HR"/>
        </w:rPr>
      </w:pPr>
      <w:r>
        <w:rPr>
          <w:rFonts w:eastAsia="Times New Roman" w:cs="Times New Roman"/>
          <w:b/>
          <w:sz w:val="24"/>
          <w:szCs w:val="24"/>
          <w:lang w:eastAsia="hr-HR"/>
        </w:rPr>
        <w:t>o mjerama pomoći gospodarstvenicima radi ekonomskih posljedica izazvanih epidemijom virusa COVID - 19</w:t>
      </w:r>
    </w:p>
    <w:p w:rsidR="00106012" w:rsidRDefault="00106012">
      <w:pPr>
        <w:spacing w:after="0" w:line="240" w:lineRule="auto"/>
        <w:jc w:val="both"/>
        <w:rPr>
          <w:rFonts w:ascii="Calibri" w:eastAsia="Times New Roman" w:hAnsi="Calibri" w:cs="Times New Roman"/>
          <w:sz w:val="24"/>
          <w:szCs w:val="24"/>
          <w:lang w:eastAsia="hr-HR"/>
        </w:rPr>
      </w:pPr>
    </w:p>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 xml:space="preserve">Članak 1. </w:t>
      </w:r>
    </w:p>
    <w:p w:rsidR="00106012" w:rsidRDefault="00106012">
      <w:pPr>
        <w:spacing w:after="0" w:line="240" w:lineRule="auto"/>
        <w:jc w:val="center"/>
        <w:rPr>
          <w:rFonts w:ascii="Calibri" w:eastAsia="Times New Roman" w:hAnsi="Calibri" w:cs="Times New Roman"/>
          <w:sz w:val="24"/>
          <w:szCs w:val="24"/>
          <w:lang w:eastAsia="hr-HR"/>
        </w:rPr>
      </w:pPr>
    </w:p>
    <w:p w:rsidR="00106012" w:rsidRDefault="002C3387">
      <w:pPr>
        <w:spacing w:after="0" w:line="240" w:lineRule="auto"/>
        <w:jc w:val="both"/>
        <w:rPr>
          <w:rFonts w:ascii="Calibri" w:eastAsia="Times New Roman" w:hAnsi="Calibri" w:cs="Times New Roman"/>
          <w:sz w:val="24"/>
          <w:szCs w:val="24"/>
          <w:lang w:eastAsia="hr-HR"/>
        </w:rPr>
      </w:pPr>
      <w:r>
        <w:rPr>
          <w:rFonts w:eastAsia="Times New Roman" w:cs="Times New Roman"/>
          <w:sz w:val="24"/>
          <w:szCs w:val="24"/>
          <w:lang w:eastAsia="hr-HR"/>
        </w:rPr>
        <w:t>Ovom Odlukom o mjerama pomoći gospodarstvenicima radi ekonomskih posljedica izazvanih epidemijom virusa COVID-19 (dalje u tekstu samo Odluka) utvrđuju se mjere koje se stavljaju na raspolaganje svim gospodarstvenicima sa sjedištem i prebivalištem na području Općine Viškovo ili koji svoju poslovnu djelatnost obavljaju na području Općine Viškovo sa ciljem ublažavanja negativnih ekonomskih posljedica izazvanih epidemijom virusa COVID – 19.</w:t>
      </w:r>
    </w:p>
    <w:p w:rsidR="00106012" w:rsidRDefault="00106012">
      <w:pPr>
        <w:spacing w:after="0" w:line="240" w:lineRule="auto"/>
        <w:jc w:val="both"/>
        <w:rPr>
          <w:rFonts w:ascii="Calibri" w:eastAsia="Times New Roman" w:hAnsi="Calibri" w:cs="Times New Roman"/>
          <w:sz w:val="24"/>
          <w:szCs w:val="24"/>
          <w:lang w:eastAsia="hr-HR"/>
        </w:rPr>
      </w:pPr>
    </w:p>
    <w:p w:rsidR="00106012" w:rsidRDefault="002C3387">
      <w:pPr>
        <w:spacing w:after="0" w:line="240" w:lineRule="auto"/>
        <w:jc w:val="both"/>
        <w:rPr>
          <w:rFonts w:ascii="Calibri" w:eastAsia="Times New Roman" w:hAnsi="Calibri" w:cs="Times New Roman"/>
          <w:sz w:val="24"/>
          <w:szCs w:val="24"/>
          <w:lang w:eastAsia="hr-HR"/>
        </w:rPr>
      </w:pPr>
      <w:r>
        <w:rPr>
          <w:rFonts w:eastAsia="Times New Roman" w:cs="Times New Roman"/>
          <w:sz w:val="24"/>
          <w:szCs w:val="24"/>
          <w:lang w:eastAsia="hr-HR"/>
        </w:rPr>
        <w:t>Gospodarstvenicima u smislu ove Odluke smatraju se sve pravne i fizičke osobe koji poslovnu djelatnost obavljaju temeljem odobrenja nadležnog tijela i koje su upisane u propisane registre.</w:t>
      </w:r>
    </w:p>
    <w:p w:rsidR="00106012" w:rsidRDefault="00106012">
      <w:pPr>
        <w:spacing w:after="0" w:line="240" w:lineRule="auto"/>
        <w:jc w:val="both"/>
        <w:rPr>
          <w:rFonts w:ascii="Calibri" w:eastAsia="Times New Roman" w:hAnsi="Calibri" w:cs="Times New Roman"/>
          <w:sz w:val="24"/>
          <w:szCs w:val="24"/>
          <w:lang w:eastAsia="hr-HR"/>
        </w:rPr>
      </w:pPr>
    </w:p>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Članak 2.</w:t>
      </w:r>
    </w:p>
    <w:p w:rsidR="00106012" w:rsidRDefault="00106012">
      <w:pPr>
        <w:spacing w:after="0" w:line="240" w:lineRule="auto"/>
        <w:rPr>
          <w:rFonts w:ascii="Calibri" w:eastAsia="Times New Roman" w:hAnsi="Calibri" w:cs="Times New Roman"/>
          <w:sz w:val="24"/>
          <w:szCs w:val="24"/>
          <w:lang w:eastAsia="hr-HR"/>
        </w:rPr>
      </w:pPr>
    </w:p>
    <w:p w:rsidR="00106012" w:rsidRDefault="002C3387">
      <w:pPr>
        <w:spacing w:after="0" w:line="240" w:lineRule="auto"/>
        <w:jc w:val="both"/>
      </w:pPr>
      <w:r>
        <w:rPr>
          <w:rFonts w:eastAsia="Times New Roman" w:cs="Times New Roman"/>
          <w:sz w:val="24"/>
          <w:szCs w:val="24"/>
          <w:lang w:eastAsia="hr-HR"/>
        </w:rPr>
        <w:t xml:space="preserve">Gospodarstvenici koji obavljaju poslovnu djelatnost čiji je rad obustavljen u sklopu  </w:t>
      </w:r>
      <w:r w:rsidRPr="002B6F8E">
        <w:rPr>
          <w:rFonts w:eastAsia="Times New Roman" w:cs="Times New Roman"/>
          <w:sz w:val="24"/>
          <w:szCs w:val="24"/>
          <w:lang w:eastAsia="hr-HR"/>
        </w:rPr>
        <w:t>protuepidemijskih mjera imaju pravo na oslobođenje od plaćanja komunalne naknade za poslovni prostor i građevinsko zemljište koje služi obavljanju poslovne djelatnosti.</w:t>
      </w:r>
    </w:p>
    <w:p w:rsidR="00106012" w:rsidRDefault="00106012">
      <w:pPr>
        <w:spacing w:after="0" w:line="240" w:lineRule="auto"/>
        <w:jc w:val="both"/>
        <w:rPr>
          <w:rFonts w:ascii="Calibri" w:eastAsia="Times New Roman" w:hAnsi="Calibri" w:cs="Times New Roman"/>
          <w:b/>
          <w:sz w:val="24"/>
          <w:szCs w:val="24"/>
          <w:lang w:eastAsia="hr-HR"/>
        </w:rPr>
      </w:pPr>
    </w:p>
    <w:p w:rsidR="00106012" w:rsidRDefault="002C3387">
      <w:pPr>
        <w:spacing w:after="0" w:line="240" w:lineRule="auto"/>
        <w:jc w:val="both"/>
      </w:pPr>
      <w:r>
        <w:rPr>
          <w:rFonts w:eastAsia="Times New Roman" w:cs="Times New Roman"/>
          <w:sz w:val="24"/>
          <w:szCs w:val="24"/>
          <w:lang w:eastAsia="hr-HR"/>
        </w:rPr>
        <w:t xml:space="preserve">Pravo na oslobođenje od plaćanja komunalne naknade za poslovni prostor i </w:t>
      </w:r>
      <w:r>
        <w:rPr>
          <w:rFonts w:eastAsia="Times New Roman" w:cs="Times New Roman"/>
          <w:color w:val="000000"/>
          <w:sz w:val="24"/>
          <w:szCs w:val="24"/>
          <w:lang w:eastAsia="hr-HR"/>
        </w:rPr>
        <w:t>građevinsko zemljište koje služi obavljanju poslovne djelatnosti iz ovog članka gospodarstvenici mogu ostvariti za mjesec travanj i za svaki naredni mjesec za vrijeme trajanja protuepidemijskih mjera kojima je obustavljen njihov rad.</w:t>
      </w:r>
    </w:p>
    <w:p w:rsidR="00106012" w:rsidRDefault="00106012">
      <w:pPr>
        <w:spacing w:after="0" w:line="240" w:lineRule="auto"/>
        <w:jc w:val="both"/>
        <w:rPr>
          <w:rFonts w:eastAsia="Times New Roman" w:cs="Times New Roman"/>
          <w:color w:val="000000"/>
          <w:sz w:val="24"/>
          <w:szCs w:val="24"/>
          <w:lang w:eastAsia="hr-HR"/>
        </w:rPr>
      </w:pPr>
    </w:p>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Članak 3.</w:t>
      </w:r>
    </w:p>
    <w:p w:rsidR="00106012" w:rsidRDefault="00106012">
      <w:pPr>
        <w:spacing w:after="0" w:line="240" w:lineRule="auto"/>
        <w:jc w:val="both"/>
        <w:rPr>
          <w:rFonts w:ascii="Calibri" w:eastAsia="Times New Roman" w:hAnsi="Calibri" w:cs="Times New Roman"/>
          <w:sz w:val="24"/>
          <w:szCs w:val="24"/>
          <w:lang w:eastAsia="hr-HR"/>
        </w:rPr>
      </w:pPr>
    </w:p>
    <w:p w:rsidR="00106012" w:rsidRPr="002B6F8E" w:rsidRDefault="002C3387">
      <w:pPr>
        <w:spacing w:after="0" w:line="240" w:lineRule="auto"/>
        <w:jc w:val="both"/>
        <w:rPr>
          <w:rFonts w:ascii="Calibri" w:eastAsia="Times New Roman" w:hAnsi="Calibri" w:cs="Times New Roman"/>
          <w:sz w:val="24"/>
          <w:szCs w:val="24"/>
          <w:lang w:eastAsia="hr-HR"/>
        </w:rPr>
      </w:pPr>
      <w:r>
        <w:rPr>
          <w:rFonts w:eastAsia="Times New Roman" w:cs="Times New Roman"/>
          <w:sz w:val="24"/>
          <w:szCs w:val="24"/>
          <w:lang w:eastAsia="hr-HR"/>
        </w:rPr>
        <w:t xml:space="preserve">Gospodarstvenici koji obavljaju poslovnu djelatnost čiji rad nije obustavljen u sklopu protuepidemijskih mjera ali je u njihovom poslovanju došlo do značajnog pada prihoda/primitaka imaju </w:t>
      </w:r>
      <w:r w:rsidRPr="002B6F8E">
        <w:rPr>
          <w:rFonts w:eastAsia="Times New Roman" w:cs="Times New Roman"/>
          <w:sz w:val="24"/>
          <w:szCs w:val="24"/>
          <w:lang w:eastAsia="hr-HR"/>
        </w:rPr>
        <w:t>pravo na djelomično oslobođenje plaćanja komunalne naknade za poslovni prostor i građevinsko zemljište koje služi obavljanju poslovne djelatnosti, razmjerno postotku pada prihoda/primitaka.</w:t>
      </w:r>
    </w:p>
    <w:p w:rsidR="00106012" w:rsidRDefault="00106012">
      <w:pPr>
        <w:spacing w:after="0" w:line="240" w:lineRule="auto"/>
        <w:jc w:val="both"/>
        <w:rPr>
          <w:rFonts w:ascii="Calibri" w:eastAsia="Times New Roman" w:hAnsi="Calibri" w:cs="Times New Roman"/>
          <w:sz w:val="24"/>
          <w:szCs w:val="24"/>
          <w:lang w:eastAsia="hr-HR"/>
        </w:rPr>
      </w:pPr>
    </w:p>
    <w:p w:rsidR="00106012" w:rsidRDefault="002C3387">
      <w:pPr>
        <w:spacing w:after="0" w:line="240" w:lineRule="auto"/>
        <w:jc w:val="both"/>
      </w:pPr>
      <w:r>
        <w:rPr>
          <w:rFonts w:eastAsia="Times New Roman" w:cs="Times New Roman"/>
          <w:sz w:val="24"/>
          <w:szCs w:val="24"/>
          <w:lang w:eastAsia="hr-HR"/>
        </w:rPr>
        <w:t xml:space="preserve">Pravo na djelomično oslobođenje plaćanja komunalne naknade za poslovni prostor i građevinsko zemljište koje služi obavljanju poslovne djelatnosti iz ovog članka </w:t>
      </w:r>
      <w:r>
        <w:rPr>
          <w:rFonts w:eastAsia="Times New Roman" w:cs="Times New Roman"/>
          <w:sz w:val="24"/>
          <w:szCs w:val="24"/>
          <w:lang w:eastAsia="hr-HR"/>
        </w:rPr>
        <w:lastRenderedPageBreak/>
        <w:t>gospodarstvenici mogu ostvariti za mjesec travanj i za svaki naredni mjesec do ukidanja protuepidemijskih mjera na način prikazan u tablici.</w:t>
      </w:r>
    </w:p>
    <w:p w:rsidR="00106012" w:rsidRDefault="00106012">
      <w:pPr>
        <w:spacing w:after="0" w:line="240" w:lineRule="auto"/>
        <w:jc w:val="both"/>
        <w:rPr>
          <w:rFonts w:ascii="Calibri" w:eastAsia="Times New Roman" w:hAnsi="Calibri" w:cs="Times New Roman"/>
          <w:sz w:val="24"/>
          <w:szCs w:val="24"/>
          <w:lang w:eastAsia="hr-HR"/>
        </w:rPr>
      </w:pPr>
    </w:p>
    <w:tbl>
      <w:tblPr>
        <w:tblStyle w:val="Reetkatablice"/>
        <w:tblW w:w="9062" w:type="dxa"/>
        <w:tblInd w:w="98" w:type="dxa"/>
        <w:tblCellMar>
          <w:left w:w="98" w:type="dxa"/>
        </w:tblCellMar>
        <w:tblLook w:val="04A0" w:firstRow="1" w:lastRow="0" w:firstColumn="1" w:lastColumn="0" w:noHBand="0" w:noVBand="1"/>
      </w:tblPr>
      <w:tblGrid>
        <w:gridCol w:w="4532"/>
        <w:gridCol w:w="4530"/>
      </w:tblGrid>
      <w:tr w:rsidR="00106012" w:rsidTr="002B6F8E">
        <w:tc>
          <w:tcPr>
            <w:tcW w:w="4532" w:type="dxa"/>
            <w:shd w:val="clear" w:color="auto" w:fill="auto"/>
            <w:tcMar>
              <w:left w:w="98" w:type="dxa"/>
            </w:tcMar>
          </w:tcPr>
          <w:p w:rsidR="00106012" w:rsidRPr="002B6F8E" w:rsidRDefault="002C3387">
            <w:pPr>
              <w:spacing w:after="0" w:line="240" w:lineRule="auto"/>
              <w:jc w:val="center"/>
              <w:rPr>
                <w:rFonts w:ascii="Calibri" w:eastAsia="Times New Roman" w:hAnsi="Calibri" w:cs="Times New Roman"/>
                <w:b/>
                <w:sz w:val="20"/>
                <w:szCs w:val="20"/>
                <w:lang w:eastAsia="hr-HR"/>
              </w:rPr>
            </w:pPr>
            <w:r w:rsidRPr="002B6F8E">
              <w:rPr>
                <w:rFonts w:eastAsia="Times New Roman" w:cs="Times New Roman"/>
                <w:b/>
                <w:sz w:val="20"/>
                <w:szCs w:val="20"/>
                <w:lang w:eastAsia="hr-HR"/>
              </w:rPr>
              <w:t>PAD PRIHODA/PRIMITAKA</w:t>
            </w:r>
          </w:p>
        </w:tc>
        <w:tc>
          <w:tcPr>
            <w:tcW w:w="4530" w:type="dxa"/>
            <w:shd w:val="clear" w:color="auto" w:fill="auto"/>
            <w:tcMar>
              <w:left w:w="98" w:type="dxa"/>
            </w:tcMar>
          </w:tcPr>
          <w:p w:rsidR="00106012" w:rsidRPr="002B6F8E" w:rsidRDefault="002C3387">
            <w:pPr>
              <w:spacing w:after="0" w:line="240" w:lineRule="auto"/>
              <w:jc w:val="center"/>
              <w:rPr>
                <w:rFonts w:ascii="Calibri" w:eastAsia="Times New Roman" w:hAnsi="Calibri" w:cs="Times New Roman"/>
                <w:b/>
                <w:sz w:val="20"/>
                <w:szCs w:val="20"/>
                <w:lang w:eastAsia="hr-HR"/>
              </w:rPr>
            </w:pPr>
            <w:r w:rsidRPr="002B6F8E">
              <w:rPr>
                <w:rFonts w:eastAsia="Times New Roman" w:cs="Times New Roman"/>
                <w:b/>
                <w:sz w:val="20"/>
                <w:szCs w:val="20"/>
                <w:lang w:eastAsia="hr-HR"/>
              </w:rPr>
              <w:t>PRAVO NA DJELOMIČNO OSLOBOĐENJE</w:t>
            </w:r>
          </w:p>
        </w:tc>
      </w:tr>
      <w:tr w:rsidR="00106012" w:rsidTr="002B6F8E">
        <w:tc>
          <w:tcPr>
            <w:tcW w:w="4532"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10 % – 20 %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20 %</w:t>
            </w:r>
          </w:p>
        </w:tc>
      </w:tr>
      <w:tr w:rsidR="00106012" w:rsidTr="002B6F8E">
        <w:tc>
          <w:tcPr>
            <w:tcW w:w="4532"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21 % - 40 %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40 %</w:t>
            </w:r>
          </w:p>
        </w:tc>
      </w:tr>
      <w:tr w:rsidR="00106012" w:rsidTr="002B6F8E">
        <w:tc>
          <w:tcPr>
            <w:tcW w:w="4532"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41 % - 60 %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60 %</w:t>
            </w:r>
          </w:p>
        </w:tc>
      </w:tr>
      <w:tr w:rsidR="00106012" w:rsidTr="002B6F8E">
        <w:trPr>
          <w:trHeight w:val="70"/>
        </w:trPr>
        <w:tc>
          <w:tcPr>
            <w:tcW w:w="4532"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color w:val="000000"/>
                <w:sz w:val="24"/>
                <w:szCs w:val="24"/>
                <w:lang w:eastAsia="hr-HR"/>
              </w:rPr>
              <w:t>61 % - 80 %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color w:val="000000"/>
                <w:sz w:val="24"/>
                <w:szCs w:val="24"/>
                <w:lang w:eastAsia="hr-HR"/>
              </w:rPr>
              <w:t>80 %</w:t>
            </w:r>
          </w:p>
        </w:tc>
      </w:tr>
      <w:tr w:rsidR="00106012" w:rsidTr="002B6F8E">
        <w:trPr>
          <w:trHeight w:val="70"/>
        </w:trPr>
        <w:tc>
          <w:tcPr>
            <w:tcW w:w="4532" w:type="dxa"/>
            <w:shd w:val="clear" w:color="auto" w:fill="auto"/>
            <w:tcMar>
              <w:left w:w="98" w:type="dxa"/>
            </w:tcMar>
          </w:tcPr>
          <w:p w:rsidR="00106012" w:rsidRDefault="002C3387">
            <w:pPr>
              <w:spacing w:after="0" w:line="240" w:lineRule="auto"/>
              <w:jc w:val="center"/>
              <w:rPr>
                <w:rFonts w:ascii="Calibri" w:eastAsia="Times New Roman" w:hAnsi="Calibri" w:cs="Times New Roman"/>
                <w:color w:val="FF0000"/>
                <w:sz w:val="24"/>
                <w:szCs w:val="24"/>
                <w:lang w:eastAsia="hr-HR"/>
              </w:rPr>
            </w:pPr>
            <w:r>
              <w:rPr>
                <w:rFonts w:eastAsia="Times New Roman" w:cs="Times New Roman"/>
                <w:color w:val="000000"/>
                <w:sz w:val="24"/>
                <w:szCs w:val="24"/>
                <w:lang w:eastAsia="hr-HR"/>
              </w:rPr>
              <w:t>81 % - 99 %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color w:val="FF0000"/>
                <w:sz w:val="24"/>
                <w:szCs w:val="24"/>
                <w:lang w:eastAsia="hr-HR"/>
              </w:rPr>
            </w:pPr>
            <w:r>
              <w:rPr>
                <w:rFonts w:eastAsia="Times New Roman" w:cs="Times New Roman"/>
                <w:color w:val="000000"/>
                <w:sz w:val="24"/>
                <w:szCs w:val="24"/>
                <w:lang w:eastAsia="hr-HR"/>
              </w:rPr>
              <w:t>90 %</w:t>
            </w:r>
          </w:p>
        </w:tc>
      </w:tr>
    </w:tbl>
    <w:p w:rsidR="00106012" w:rsidRDefault="00106012">
      <w:pPr>
        <w:spacing w:after="0" w:line="240" w:lineRule="auto"/>
        <w:jc w:val="both"/>
        <w:rPr>
          <w:rFonts w:ascii="Calibri" w:eastAsia="Times New Roman" w:hAnsi="Calibri" w:cs="Times New Roman"/>
          <w:sz w:val="24"/>
          <w:szCs w:val="24"/>
          <w:lang w:eastAsia="hr-HR"/>
        </w:rPr>
      </w:pPr>
    </w:p>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Članak 4.</w:t>
      </w:r>
    </w:p>
    <w:p w:rsidR="00106012" w:rsidRDefault="00106012">
      <w:pPr>
        <w:spacing w:after="0" w:line="240" w:lineRule="auto"/>
        <w:jc w:val="center"/>
        <w:rPr>
          <w:rFonts w:ascii="Calibri" w:eastAsia="Times New Roman" w:hAnsi="Calibri" w:cs="Times New Roman"/>
          <w:sz w:val="24"/>
          <w:szCs w:val="24"/>
          <w:lang w:eastAsia="hr-HR"/>
        </w:rPr>
      </w:pPr>
    </w:p>
    <w:p w:rsidR="00106012" w:rsidRDefault="002C3387">
      <w:pPr>
        <w:spacing w:after="0" w:line="240" w:lineRule="auto"/>
        <w:jc w:val="both"/>
      </w:pPr>
      <w:r>
        <w:rPr>
          <w:rFonts w:eastAsia="Times New Roman" w:cs="Times New Roman"/>
          <w:sz w:val="24"/>
          <w:szCs w:val="24"/>
          <w:lang w:eastAsia="hr-HR"/>
        </w:rPr>
        <w:t xml:space="preserve">Gospodarstvenici koji obavljaju poslovnu djelatnost čiji je rad obustavljen u sklopu protuepidemijskih mjera, a koji poslovnu djelatnost obavljaju temeljem ugovora o zakupu </w:t>
      </w:r>
      <w:r w:rsidRPr="002B6F8E">
        <w:rPr>
          <w:rFonts w:eastAsia="Times New Roman" w:cs="Times New Roman"/>
          <w:sz w:val="24"/>
          <w:szCs w:val="24"/>
          <w:lang w:eastAsia="hr-HR"/>
        </w:rPr>
        <w:t>prostora i/ili zakupa javne površine u poslovnom prostoru i/ili na javnoj površini u vlasništvu Općine Viškovo imaju pravo na oslobađanje od plaćanja zakupnine, osim pripadajućeg poreza na dodanu vrijednost.</w:t>
      </w:r>
    </w:p>
    <w:p w:rsidR="00106012" w:rsidRDefault="00106012">
      <w:pPr>
        <w:spacing w:after="0" w:line="240" w:lineRule="auto"/>
        <w:jc w:val="both"/>
        <w:rPr>
          <w:rFonts w:ascii="Calibri" w:eastAsia="Times New Roman" w:hAnsi="Calibri" w:cs="Times New Roman"/>
          <w:color w:val="000000"/>
          <w:sz w:val="24"/>
          <w:szCs w:val="24"/>
          <w:lang w:eastAsia="hr-HR"/>
        </w:rPr>
      </w:pPr>
    </w:p>
    <w:p w:rsidR="00106012" w:rsidRPr="002B6F8E" w:rsidRDefault="002C3387">
      <w:pPr>
        <w:spacing w:after="0" w:line="240" w:lineRule="auto"/>
        <w:jc w:val="both"/>
        <w:rPr>
          <w:color w:val="000000"/>
        </w:rPr>
      </w:pPr>
      <w:r>
        <w:rPr>
          <w:rFonts w:eastAsia="Times New Roman" w:cs="Times New Roman"/>
          <w:color w:val="000000"/>
          <w:sz w:val="24"/>
          <w:szCs w:val="24"/>
          <w:lang w:eastAsia="hr-HR"/>
        </w:rPr>
        <w:t>Pravo na oslobođenje od plaćanja zakupnine iz ovog članka gospodarstvenici mogu ostvariti za mjesec travanj te za svaki na</w:t>
      </w:r>
      <w:r w:rsidR="002B6F8E">
        <w:rPr>
          <w:rFonts w:eastAsia="Times New Roman" w:cs="Times New Roman"/>
          <w:color w:val="000000"/>
          <w:sz w:val="24"/>
          <w:szCs w:val="24"/>
          <w:lang w:eastAsia="hr-HR"/>
        </w:rPr>
        <w:t xml:space="preserve">redni mjesec za vrijeme </w:t>
      </w:r>
      <w:r w:rsidR="002B6F8E" w:rsidRPr="002B6F8E">
        <w:rPr>
          <w:rFonts w:eastAsia="Times New Roman" w:cs="Times New Roman"/>
          <w:color w:val="000000"/>
          <w:sz w:val="24"/>
          <w:szCs w:val="24"/>
          <w:lang w:eastAsia="hr-HR"/>
        </w:rPr>
        <w:t xml:space="preserve"> </w:t>
      </w:r>
      <w:r w:rsidR="002B6F8E">
        <w:rPr>
          <w:rFonts w:eastAsia="Times New Roman" w:cs="Times New Roman"/>
          <w:color w:val="000000"/>
          <w:sz w:val="24"/>
          <w:szCs w:val="24"/>
          <w:lang w:eastAsia="hr-HR"/>
        </w:rPr>
        <w:t>trajanja protuepidemijskih mjera kojima je obustavljen njihov rad.</w:t>
      </w:r>
      <w:r>
        <w:rPr>
          <w:rFonts w:eastAsia="Times New Roman" w:cs="Times New Roman"/>
          <w:color w:val="000000"/>
          <w:sz w:val="24"/>
          <w:szCs w:val="24"/>
          <w:lang w:eastAsia="hr-HR"/>
        </w:rPr>
        <w:t xml:space="preserve"> </w:t>
      </w:r>
    </w:p>
    <w:p w:rsidR="00106012" w:rsidRDefault="00106012">
      <w:pPr>
        <w:spacing w:after="0" w:line="240" w:lineRule="auto"/>
        <w:jc w:val="both"/>
        <w:rPr>
          <w:rFonts w:ascii="Calibri" w:eastAsia="Times New Roman" w:hAnsi="Calibri" w:cs="Times New Roman"/>
          <w:sz w:val="24"/>
          <w:szCs w:val="24"/>
          <w:lang w:eastAsia="hr-HR"/>
        </w:rPr>
      </w:pPr>
    </w:p>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Članak 5.</w:t>
      </w:r>
    </w:p>
    <w:p w:rsidR="00106012" w:rsidRDefault="00106012">
      <w:pPr>
        <w:spacing w:after="0" w:line="240" w:lineRule="auto"/>
        <w:jc w:val="both"/>
        <w:rPr>
          <w:rFonts w:ascii="Calibri" w:eastAsia="Times New Roman" w:hAnsi="Calibri" w:cs="Times New Roman"/>
          <w:sz w:val="24"/>
          <w:szCs w:val="24"/>
          <w:lang w:eastAsia="hr-HR"/>
        </w:rPr>
      </w:pPr>
    </w:p>
    <w:p w:rsidR="00106012" w:rsidRDefault="002C3387">
      <w:pPr>
        <w:spacing w:after="0" w:line="240" w:lineRule="auto"/>
        <w:jc w:val="both"/>
      </w:pPr>
      <w:r>
        <w:rPr>
          <w:rFonts w:eastAsia="Times New Roman" w:cs="Times New Roman"/>
          <w:sz w:val="24"/>
          <w:szCs w:val="24"/>
          <w:lang w:eastAsia="hr-HR"/>
        </w:rPr>
        <w:t xml:space="preserve">Gospodarstvenici koji obavljaju poslovnu djelatnost čiji rad nije obustavljen u sklopu </w:t>
      </w:r>
      <w:r w:rsidRPr="002B6F8E">
        <w:rPr>
          <w:rFonts w:eastAsia="Times New Roman" w:cs="Times New Roman"/>
          <w:sz w:val="24"/>
          <w:szCs w:val="24"/>
          <w:lang w:eastAsia="hr-HR"/>
        </w:rPr>
        <w:t>protuepidemijskih mjera  ali je u njihovom poslovanju došlo do značajnog pada prihoda/primitaka imaju pravo, a koji poslovnu djelatnost obavljaju temeljem ugovora o zakupu prostora i/ili zakupa javne površine u poslovnom prostoru i/ili na javnoj površini u vlasništvu Općine Viškovo imaju pravo na djelomično oslobođenje plaćanja zakupnine razmjerno postotku pada prihoda/primitaka, osim pripadajućeg poreza na dodanu vrijednost.</w:t>
      </w:r>
    </w:p>
    <w:p w:rsidR="00106012" w:rsidRDefault="00106012">
      <w:pPr>
        <w:spacing w:after="0" w:line="240" w:lineRule="auto"/>
        <w:jc w:val="both"/>
        <w:rPr>
          <w:rFonts w:ascii="Calibri" w:eastAsia="Times New Roman" w:hAnsi="Calibri" w:cs="Times New Roman"/>
          <w:sz w:val="24"/>
          <w:szCs w:val="24"/>
          <w:lang w:eastAsia="hr-HR"/>
        </w:rPr>
      </w:pPr>
    </w:p>
    <w:p w:rsidR="00106012" w:rsidRDefault="002C3387">
      <w:pPr>
        <w:spacing w:after="0" w:line="240" w:lineRule="auto"/>
        <w:jc w:val="both"/>
      </w:pPr>
      <w:r>
        <w:rPr>
          <w:rFonts w:eastAsia="Times New Roman" w:cs="Times New Roman"/>
          <w:sz w:val="24"/>
          <w:szCs w:val="24"/>
          <w:lang w:eastAsia="hr-HR"/>
        </w:rPr>
        <w:t>Pravo na djelomično oslobođenje plaćanja zakupnine iz ovog članka gospodarstvenici mogu ostvariti mjesec travanj i za svaki naredni mjesec do ukidanja posebnih protuepidemijskih mjera na način prikazan u tablici.</w:t>
      </w:r>
    </w:p>
    <w:p w:rsidR="00106012" w:rsidRDefault="00106012">
      <w:pPr>
        <w:spacing w:after="0" w:line="240" w:lineRule="auto"/>
        <w:jc w:val="both"/>
        <w:rPr>
          <w:rFonts w:ascii="Calibri" w:eastAsia="Times New Roman" w:hAnsi="Calibri" w:cs="Times New Roman"/>
          <w:sz w:val="24"/>
          <w:szCs w:val="24"/>
          <w:lang w:eastAsia="hr-HR"/>
        </w:rPr>
      </w:pPr>
    </w:p>
    <w:tbl>
      <w:tblPr>
        <w:tblStyle w:val="Reetkatablice"/>
        <w:tblW w:w="8954" w:type="dxa"/>
        <w:tblInd w:w="98" w:type="dxa"/>
        <w:tblCellMar>
          <w:left w:w="98" w:type="dxa"/>
        </w:tblCellMar>
        <w:tblLook w:val="04A0" w:firstRow="1" w:lastRow="0" w:firstColumn="1" w:lastColumn="0" w:noHBand="0" w:noVBand="1"/>
      </w:tblPr>
      <w:tblGrid>
        <w:gridCol w:w="4424"/>
        <w:gridCol w:w="4530"/>
      </w:tblGrid>
      <w:tr w:rsidR="00106012" w:rsidTr="002B6F8E">
        <w:tc>
          <w:tcPr>
            <w:tcW w:w="4424" w:type="dxa"/>
            <w:shd w:val="clear" w:color="auto" w:fill="auto"/>
            <w:tcMar>
              <w:left w:w="98" w:type="dxa"/>
            </w:tcMar>
          </w:tcPr>
          <w:p w:rsidR="00106012" w:rsidRPr="002B6F8E" w:rsidRDefault="002C3387">
            <w:pPr>
              <w:spacing w:after="0" w:line="240" w:lineRule="auto"/>
              <w:jc w:val="center"/>
              <w:rPr>
                <w:rFonts w:ascii="Calibri" w:eastAsia="Times New Roman" w:hAnsi="Calibri" w:cs="Times New Roman"/>
                <w:b/>
                <w:sz w:val="20"/>
                <w:szCs w:val="20"/>
                <w:lang w:eastAsia="hr-HR"/>
              </w:rPr>
            </w:pPr>
            <w:r w:rsidRPr="002B6F8E">
              <w:rPr>
                <w:rFonts w:eastAsia="Times New Roman" w:cs="Times New Roman"/>
                <w:b/>
                <w:sz w:val="20"/>
                <w:szCs w:val="20"/>
                <w:lang w:eastAsia="hr-HR"/>
              </w:rPr>
              <w:t>PAD PRIHODA/PRIMITAKA</w:t>
            </w:r>
          </w:p>
        </w:tc>
        <w:tc>
          <w:tcPr>
            <w:tcW w:w="4530" w:type="dxa"/>
            <w:shd w:val="clear" w:color="auto" w:fill="auto"/>
            <w:tcMar>
              <w:left w:w="98" w:type="dxa"/>
            </w:tcMar>
          </w:tcPr>
          <w:p w:rsidR="00106012" w:rsidRPr="002B6F8E" w:rsidRDefault="002C3387">
            <w:pPr>
              <w:spacing w:after="0" w:line="240" w:lineRule="auto"/>
              <w:jc w:val="center"/>
              <w:rPr>
                <w:rFonts w:ascii="Calibri" w:eastAsia="Times New Roman" w:hAnsi="Calibri" w:cs="Times New Roman"/>
                <w:b/>
                <w:sz w:val="20"/>
                <w:szCs w:val="20"/>
                <w:lang w:eastAsia="hr-HR"/>
              </w:rPr>
            </w:pPr>
            <w:r w:rsidRPr="002B6F8E">
              <w:rPr>
                <w:rFonts w:eastAsia="Times New Roman" w:cs="Times New Roman"/>
                <w:b/>
                <w:sz w:val="20"/>
                <w:szCs w:val="20"/>
                <w:lang w:eastAsia="hr-HR"/>
              </w:rPr>
              <w:t>PRAVO NA DJELOMIČNO OSLOBOĐENJE</w:t>
            </w:r>
          </w:p>
        </w:tc>
      </w:tr>
      <w:tr w:rsidR="00106012" w:rsidTr="002B6F8E">
        <w:tc>
          <w:tcPr>
            <w:tcW w:w="4424"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10 % – 20 %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20 %</w:t>
            </w:r>
          </w:p>
        </w:tc>
      </w:tr>
      <w:tr w:rsidR="00106012" w:rsidTr="002B6F8E">
        <w:tc>
          <w:tcPr>
            <w:tcW w:w="4424"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21 % - 40 %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40 %</w:t>
            </w:r>
          </w:p>
        </w:tc>
      </w:tr>
      <w:tr w:rsidR="00106012" w:rsidTr="002B6F8E">
        <w:tc>
          <w:tcPr>
            <w:tcW w:w="4424"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41 % - 60 %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60 %</w:t>
            </w:r>
          </w:p>
        </w:tc>
      </w:tr>
      <w:tr w:rsidR="00106012" w:rsidTr="002B6F8E">
        <w:trPr>
          <w:trHeight w:val="70"/>
        </w:trPr>
        <w:tc>
          <w:tcPr>
            <w:tcW w:w="4424"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color w:val="000000"/>
                <w:sz w:val="24"/>
                <w:szCs w:val="24"/>
                <w:lang w:eastAsia="hr-HR"/>
              </w:rPr>
              <w:t>61 % - 80 %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color w:val="000000"/>
                <w:sz w:val="24"/>
                <w:szCs w:val="24"/>
                <w:lang w:eastAsia="hr-HR"/>
              </w:rPr>
              <w:t>80 %</w:t>
            </w:r>
          </w:p>
        </w:tc>
      </w:tr>
      <w:tr w:rsidR="00106012" w:rsidTr="002B6F8E">
        <w:trPr>
          <w:trHeight w:val="70"/>
        </w:trPr>
        <w:tc>
          <w:tcPr>
            <w:tcW w:w="4424" w:type="dxa"/>
            <w:shd w:val="clear" w:color="auto" w:fill="auto"/>
            <w:tcMar>
              <w:left w:w="98" w:type="dxa"/>
            </w:tcMar>
          </w:tcPr>
          <w:p w:rsidR="00106012" w:rsidRDefault="002C3387">
            <w:pPr>
              <w:spacing w:after="0" w:line="240" w:lineRule="auto"/>
              <w:jc w:val="center"/>
              <w:rPr>
                <w:rFonts w:ascii="Calibri" w:eastAsia="Times New Roman" w:hAnsi="Calibri" w:cs="Times New Roman"/>
                <w:color w:val="FF0000"/>
                <w:sz w:val="24"/>
                <w:szCs w:val="24"/>
                <w:lang w:eastAsia="hr-HR"/>
              </w:rPr>
            </w:pPr>
            <w:r>
              <w:rPr>
                <w:rFonts w:eastAsia="Times New Roman" w:cs="Times New Roman"/>
                <w:color w:val="000000"/>
                <w:sz w:val="24"/>
                <w:szCs w:val="24"/>
                <w:lang w:eastAsia="hr-HR"/>
              </w:rPr>
              <w:t>81 % - 99 %</w:t>
            </w:r>
          </w:p>
        </w:tc>
        <w:tc>
          <w:tcPr>
            <w:tcW w:w="4530" w:type="dxa"/>
            <w:shd w:val="clear" w:color="auto" w:fill="auto"/>
            <w:tcMar>
              <w:left w:w="98" w:type="dxa"/>
            </w:tcMar>
          </w:tcPr>
          <w:p w:rsidR="00106012" w:rsidRDefault="002C3387">
            <w:pPr>
              <w:spacing w:after="0" w:line="240" w:lineRule="auto"/>
              <w:jc w:val="center"/>
              <w:rPr>
                <w:rFonts w:ascii="Calibri" w:eastAsia="Times New Roman" w:hAnsi="Calibri" w:cs="Times New Roman"/>
                <w:color w:val="FF0000"/>
                <w:sz w:val="24"/>
                <w:szCs w:val="24"/>
                <w:lang w:eastAsia="hr-HR"/>
              </w:rPr>
            </w:pPr>
            <w:r>
              <w:rPr>
                <w:rFonts w:eastAsia="Times New Roman" w:cs="Times New Roman"/>
                <w:color w:val="000000"/>
                <w:sz w:val="24"/>
                <w:szCs w:val="24"/>
                <w:lang w:eastAsia="hr-HR"/>
              </w:rPr>
              <w:t>90 %</w:t>
            </w:r>
          </w:p>
        </w:tc>
      </w:tr>
    </w:tbl>
    <w:p w:rsidR="00106012" w:rsidRDefault="00106012">
      <w:pPr>
        <w:spacing w:after="0" w:line="240" w:lineRule="auto"/>
        <w:jc w:val="both"/>
        <w:rPr>
          <w:rFonts w:ascii="Calibri" w:eastAsia="Times New Roman" w:hAnsi="Calibri" w:cs="Times New Roman"/>
          <w:sz w:val="24"/>
          <w:szCs w:val="24"/>
          <w:lang w:eastAsia="hr-HR"/>
        </w:rPr>
      </w:pPr>
    </w:p>
    <w:p w:rsidR="00106012" w:rsidRDefault="00106012">
      <w:pPr>
        <w:spacing w:after="0" w:line="240" w:lineRule="auto"/>
        <w:rPr>
          <w:rFonts w:eastAsia="Times New Roman" w:cs="Times New Roman"/>
          <w:sz w:val="24"/>
          <w:szCs w:val="24"/>
          <w:lang w:eastAsia="hr-HR"/>
        </w:rPr>
      </w:pPr>
    </w:p>
    <w:p w:rsidR="00106012" w:rsidRDefault="00106012">
      <w:pPr>
        <w:spacing w:after="0" w:line="240" w:lineRule="auto"/>
        <w:rPr>
          <w:rFonts w:eastAsia="Times New Roman" w:cs="Times New Roman"/>
          <w:sz w:val="24"/>
          <w:szCs w:val="24"/>
          <w:lang w:eastAsia="hr-HR"/>
        </w:rPr>
      </w:pPr>
    </w:p>
    <w:p w:rsidR="00106012" w:rsidRDefault="002C3387">
      <w:pPr>
        <w:spacing w:after="0" w:line="240" w:lineRule="auto"/>
        <w:jc w:val="center"/>
        <w:rPr>
          <w:rFonts w:ascii="Calibri" w:eastAsia="Times New Roman" w:hAnsi="Calibri" w:cs="Times New Roman"/>
          <w:sz w:val="24"/>
          <w:szCs w:val="24"/>
          <w:lang w:eastAsia="hr-HR"/>
        </w:rPr>
      </w:pPr>
      <w:r>
        <w:rPr>
          <w:rFonts w:eastAsia="Times New Roman" w:cs="Times New Roman"/>
          <w:sz w:val="24"/>
          <w:szCs w:val="24"/>
          <w:lang w:eastAsia="hr-HR"/>
        </w:rPr>
        <w:t>Članak 6.</w:t>
      </w:r>
    </w:p>
    <w:p w:rsidR="00106012" w:rsidRDefault="00106012">
      <w:pPr>
        <w:spacing w:after="0" w:line="240" w:lineRule="auto"/>
        <w:rPr>
          <w:rFonts w:ascii="Calibri" w:eastAsia="Times New Roman" w:hAnsi="Calibri" w:cs="Times New Roman"/>
          <w:sz w:val="24"/>
          <w:szCs w:val="24"/>
          <w:lang w:eastAsia="hr-HR"/>
        </w:rPr>
      </w:pPr>
    </w:p>
    <w:p w:rsidR="00106012" w:rsidRDefault="002C3387">
      <w:pPr>
        <w:jc w:val="both"/>
      </w:pPr>
      <w:r>
        <w:rPr>
          <w:sz w:val="24"/>
          <w:szCs w:val="24"/>
        </w:rPr>
        <w:lastRenderedPageBreak/>
        <w:t xml:space="preserve">Gospodarstvenicima iz članka 4. i članka 5. ove Odluke koji temeljem suglasnosti Općine Viškovo imaju sklopljen ugovor o podzakupu prostora i/ili javne površine sa trećima odobrit će se korištenje mjere oslobođenja ili djelomičnog oslobođenja plaćanja ugovorene zakupnine iz ove Odluke ukoliko dokažu da su </w:t>
      </w:r>
      <w:proofErr w:type="spellStart"/>
      <w:r>
        <w:rPr>
          <w:sz w:val="24"/>
          <w:szCs w:val="24"/>
        </w:rPr>
        <w:t>podzakupnika</w:t>
      </w:r>
      <w:proofErr w:type="spellEnd"/>
      <w:r>
        <w:rPr>
          <w:sz w:val="24"/>
          <w:szCs w:val="24"/>
        </w:rPr>
        <w:t xml:space="preserve"> oslobodili ili djelomično oslobodili od obveze plaćanja </w:t>
      </w:r>
      <w:proofErr w:type="spellStart"/>
      <w:r>
        <w:rPr>
          <w:sz w:val="24"/>
          <w:szCs w:val="24"/>
        </w:rPr>
        <w:t>podzakupnine</w:t>
      </w:r>
      <w:proofErr w:type="spellEnd"/>
      <w:r>
        <w:rPr>
          <w:sz w:val="24"/>
          <w:szCs w:val="24"/>
        </w:rPr>
        <w:t>.</w:t>
      </w:r>
    </w:p>
    <w:p w:rsidR="00106012" w:rsidRDefault="002C3387">
      <w:pPr>
        <w:jc w:val="center"/>
        <w:rPr>
          <w:rFonts w:ascii="Calibri" w:hAnsi="Calibri"/>
          <w:sz w:val="24"/>
          <w:szCs w:val="24"/>
        </w:rPr>
      </w:pPr>
      <w:r>
        <w:rPr>
          <w:sz w:val="24"/>
          <w:szCs w:val="24"/>
        </w:rPr>
        <w:t>Članak 7.</w:t>
      </w:r>
    </w:p>
    <w:p w:rsidR="00106012" w:rsidRDefault="002C3387">
      <w:pPr>
        <w:jc w:val="both"/>
      </w:pPr>
      <w:r>
        <w:rPr>
          <w:sz w:val="24"/>
          <w:szCs w:val="24"/>
        </w:rPr>
        <w:t xml:space="preserve">Utvrđuje se da se tijekom trajanja posebnih protuepidemijskih mjera propisanih odlukom Stožera civilne zaštite Republike Hrvatske neće pokretati postupci prisilne naplate dospjelih dugovanja na </w:t>
      </w:r>
      <w:bookmarkStart w:id="0" w:name="__DdeLink__320_1555107927"/>
      <w:r>
        <w:rPr>
          <w:sz w:val="24"/>
          <w:szCs w:val="24"/>
        </w:rPr>
        <w:t>ime komunalne naknade za poslovni prostor, komunalne naknade za građevinsko zemljište koje služi obavljanju poslovne djelatnosti, zakupnine za zakup prostora u vlasništvu Općine Viškovo i zakupnine za zakup javne površine u vlasništvu Općine Viškovo gospodarstvenika prema Općini Viškovo</w:t>
      </w:r>
      <w:bookmarkEnd w:id="0"/>
      <w:r>
        <w:rPr>
          <w:sz w:val="24"/>
          <w:szCs w:val="24"/>
        </w:rPr>
        <w:t>, osim ukoliko bi to utjecalo na njihovu zastaru.</w:t>
      </w:r>
    </w:p>
    <w:p w:rsidR="00106012" w:rsidRDefault="002C3387">
      <w:pPr>
        <w:jc w:val="center"/>
      </w:pPr>
      <w:r>
        <w:rPr>
          <w:sz w:val="24"/>
          <w:szCs w:val="24"/>
        </w:rPr>
        <w:t>Članak 8.</w:t>
      </w:r>
    </w:p>
    <w:p w:rsidR="00106012" w:rsidRDefault="002C3387">
      <w:pPr>
        <w:jc w:val="both"/>
      </w:pPr>
      <w:r>
        <w:rPr>
          <w:sz w:val="24"/>
          <w:szCs w:val="24"/>
        </w:rPr>
        <w:t>Utvrđuje se da se od mjeseca ožujka do ukidanja posebnih protuepidemijskih mjera propisanih odlukom Stožera civilne zaštite Republike Hrvatske neće obračunavati zakonske zatezne kamate na dospjela potraživanja gospodarstvenika na ime komunalne naknade za poslovni prostor, komunalne naknade za građevinsko zemljište koje služi obavljanju poslovne djelatnosti, zakupnine za zakup prostora u vlasništvu Općine Viškovo i zakupnine za zakup javne površine u vlasništvu Općine Viškovo.</w:t>
      </w:r>
    </w:p>
    <w:p w:rsidR="00106012" w:rsidRDefault="002C3387">
      <w:pPr>
        <w:jc w:val="center"/>
      </w:pPr>
      <w:r>
        <w:rPr>
          <w:sz w:val="24"/>
          <w:szCs w:val="24"/>
        </w:rPr>
        <w:t>Članak 9.</w:t>
      </w:r>
    </w:p>
    <w:p w:rsidR="00106012" w:rsidRDefault="002C3387">
      <w:pPr>
        <w:jc w:val="both"/>
        <w:rPr>
          <w:rFonts w:ascii="Calibri" w:hAnsi="Calibri"/>
          <w:sz w:val="24"/>
          <w:szCs w:val="24"/>
        </w:rPr>
      </w:pPr>
      <w:r>
        <w:rPr>
          <w:sz w:val="24"/>
          <w:szCs w:val="24"/>
        </w:rPr>
        <w:t>Gospodarstvenici pravo na mjere propisane ovom Odlukom ostvaruju podnošenjem pisanog zahtjeva, dostavom dokumentacije kojom dokazuju ispunjavanje uvjeta za korištenje tražene mjere i izjave o istinitosti podataka.</w:t>
      </w:r>
    </w:p>
    <w:p w:rsidR="00106012" w:rsidRDefault="002C3387">
      <w:pPr>
        <w:jc w:val="both"/>
        <w:rPr>
          <w:rFonts w:ascii="Calibri" w:hAnsi="Calibri"/>
          <w:sz w:val="24"/>
          <w:szCs w:val="24"/>
        </w:rPr>
      </w:pPr>
      <w:r>
        <w:rPr>
          <w:sz w:val="24"/>
          <w:szCs w:val="24"/>
        </w:rPr>
        <w:t>Ovlašćuje se Općinski načelnik za provedbu ove Odluke i utvrđivanje obrazaca zahtjeva i dokumentacije koju je gospodarstvenik dužan uz zahtjev priložiti.</w:t>
      </w:r>
    </w:p>
    <w:p w:rsidR="00106012" w:rsidRDefault="002C3387">
      <w:pPr>
        <w:jc w:val="center"/>
      </w:pPr>
      <w:r>
        <w:rPr>
          <w:sz w:val="24"/>
          <w:szCs w:val="24"/>
        </w:rPr>
        <w:t>Članak 10.</w:t>
      </w:r>
    </w:p>
    <w:p w:rsidR="00106012" w:rsidRDefault="002C3387">
      <w:pPr>
        <w:jc w:val="both"/>
      </w:pPr>
      <w:r>
        <w:rPr>
          <w:sz w:val="24"/>
          <w:szCs w:val="24"/>
        </w:rPr>
        <w:t>Odredbe ove Odluke ne primjenjuju se na gospodarstvenike koji su u vlasništvu ili pretežitom vlasništvu Republike Hrvatske i/ili jedinice lokalne (regionalne) samouprave odnosno čiji su osnivači Republika Hrvatska i/ili jedinica lokalne (regionalne) samouprave.</w:t>
      </w:r>
    </w:p>
    <w:p w:rsidR="00106012" w:rsidRDefault="002C3387">
      <w:pPr>
        <w:jc w:val="center"/>
      </w:pPr>
      <w:r>
        <w:rPr>
          <w:sz w:val="24"/>
          <w:szCs w:val="24"/>
        </w:rPr>
        <w:t>Članak 11.</w:t>
      </w:r>
    </w:p>
    <w:p w:rsidR="00106012" w:rsidRPr="002B6F8E" w:rsidRDefault="002C3387">
      <w:pPr>
        <w:jc w:val="both"/>
      </w:pPr>
      <w:r>
        <w:rPr>
          <w:sz w:val="24"/>
          <w:szCs w:val="24"/>
        </w:rPr>
        <w:t xml:space="preserve">Mjere pomoći gospodarstvenicima propisane ovom Odlukom primjenjivat će se do ukidanja posebnih protuepidemijskih mjera koje se odnose na obavljanje poslovnih djelatnosti. </w:t>
      </w:r>
    </w:p>
    <w:p w:rsidR="00106012" w:rsidRDefault="002C3387">
      <w:pPr>
        <w:jc w:val="center"/>
      </w:pPr>
      <w:r>
        <w:rPr>
          <w:sz w:val="24"/>
          <w:szCs w:val="24"/>
        </w:rPr>
        <w:t>Članak 12.</w:t>
      </w:r>
    </w:p>
    <w:p w:rsidR="00106012" w:rsidRDefault="002C3387">
      <w:pPr>
        <w:jc w:val="both"/>
        <w:rPr>
          <w:rFonts w:ascii="Calibri" w:hAnsi="Calibri"/>
          <w:sz w:val="24"/>
          <w:szCs w:val="24"/>
        </w:rPr>
      </w:pPr>
      <w:r>
        <w:rPr>
          <w:sz w:val="24"/>
          <w:szCs w:val="24"/>
        </w:rPr>
        <w:lastRenderedPageBreak/>
        <w:t>Za podmirene obveze za mjesece za koje se utvrdi da gospodarstvenik ostvaruje pravo na mjere iz ove Odluke naknadno će se izvršiti prijeboj,  neće se vršiti povrat uplaćenih sredstava.</w:t>
      </w:r>
    </w:p>
    <w:p w:rsidR="00106012" w:rsidRDefault="002C3387">
      <w:pPr>
        <w:jc w:val="center"/>
      </w:pPr>
      <w:r>
        <w:rPr>
          <w:sz w:val="24"/>
          <w:szCs w:val="24"/>
        </w:rPr>
        <w:t>Članak 13.</w:t>
      </w:r>
    </w:p>
    <w:p w:rsidR="00106012" w:rsidRDefault="002C3387">
      <w:pPr>
        <w:jc w:val="both"/>
        <w:rPr>
          <w:rFonts w:ascii="Calibri" w:hAnsi="Calibri"/>
          <w:sz w:val="24"/>
          <w:szCs w:val="24"/>
        </w:rPr>
      </w:pPr>
      <w:r>
        <w:rPr>
          <w:sz w:val="24"/>
          <w:szCs w:val="24"/>
        </w:rPr>
        <w:t>Ova Odluka stupa na snagu prvog dana nakon dana objave u službenim novinama „Općine Viškovo“.</w:t>
      </w:r>
    </w:p>
    <w:p w:rsidR="00106012" w:rsidRDefault="002C3387">
      <w:pPr>
        <w:spacing w:after="0"/>
        <w:rPr>
          <w:rFonts w:ascii="Calibri" w:hAnsi="Calibri"/>
          <w:sz w:val="24"/>
          <w:szCs w:val="24"/>
        </w:rPr>
      </w:pPr>
      <w:r>
        <w:rPr>
          <w:sz w:val="24"/>
          <w:szCs w:val="24"/>
        </w:rPr>
        <w:t>KLASA</w:t>
      </w:r>
    </w:p>
    <w:p w:rsidR="00106012" w:rsidRDefault="002C3387">
      <w:pPr>
        <w:spacing w:after="0"/>
        <w:rPr>
          <w:rFonts w:ascii="Calibri" w:hAnsi="Calibri"/>
          <w:sz w:val="24"/>
          <w:szCs w:val="24"/>
        </w:rPr>
      </w:pPr>
      <w:r>
        <w:rPr>
          <w:sz w:val="24"/>
          <w:szCs w:val="24"/>
        </w:rPr>
        <w:t>URBROJ</w:t>
      </w:r>
    </w:p>
    <w:p w:rsidR="00106012" w:rsidRDefault="002C3387">
      <w:pPr>
        <w:spacing w:after="0"/>
        <w:rPr>
          <w:rFonts w:ascii="Calibri" w:hAnsi="Calibri"/>
          <w:sz w:val="24"/>
          <w:szCs w:val="24"/>
        </w:rPr>
      </w:pPr>
      <w:r>
        <w:rPr>
          <w:sz w:val="24"/>
          <w:szCs w:val="24"/>
        </w:rPr>
        <w:t>VIŠKOVO,</w:t>
      </w:r>
    </w:p>
    <w:p w:rsidR="00106012" w:rsidRDefault="00106012">
      <w:pPr>
        <w:rPr>
          <w:rFonts w:ascii="Calibri" w:hAnsi="Calibri"/>
          <w:sz w:val="24"/>
          <w:szCs w:val="24"/>
        </w:rPr>
      </w:pPr>
    </w:p>
    <w:p w:rsidR="00106012" w:rsidRDefault="002B6F8E" w:rsidP="002B6F8E">
      <w:pPr>
        <w:jc w:val="center"/>
      </w:pPr>
      <w:r>
        <w:t>OPĆINSKO VIJEĆE OPĆINE VIŠKOVO</w:t>
      </w:r>
    </w:p>
    <w:p w:rsidR="00AB2B6A" w:rsidRDefault="00AB2B6A" w:rsidP="00AB2B6A">
      <w:pPr>
        <w:jc w:val="center"/>
        <w:rPr>
          <w:b/>
          <w:sz w:val="24"/>
          <w:szCs w:val="24"/>
        </w:rPr>
      </w:pPr>
      <w:r>
        <w:rPr>
          <w:b/>
          <w:sz w:val="24"/>
          <w:szCs w:val="24"/>
        </w:rPr>
        <w:t>O B R A Z L O Ž E N J E</w:t>
      </w:r>
    </w:p>
    <w:p w:rsidR="00AB2B6A" w:rsidRDefault="00AB2B6A" w:rsidP="00AB2B6A">
      <w:pPr>
        <w:spacing w:after="0" w:line="240" w:lineRule="auto"/>
        <w:jc w:val="center"/>
        <w:rPr>
          <w:rFonts w:ascii="Calibri" w:eastAsia="Times New Roman" w:hAnsi="Calibri" w:cs="Times New Roman"/>
          <w:sz w:val="24"/>
          <w:szCs w:val="24"/>
          <w:lang w:eastAsia="hr-HR"/>
        </w:rPr>
      </w:pPr>
      <w:r>
        <w:rPr>
          <w:sz w:val="24"/>
          <w:szCs w:val="24"/>
        </w:rPr>
        <w:t xml:space="preserve">Prijedloga Odluke </w:t>
      </w:r>
      <w:r>
        <w:rPr>
          <w:rFonts w:eastAsia="Times New Roman" w:cs="Times New Roman"/>
          <w:sz w:val="24"/>
          <w:szCs w:val="24"/>
          <w:lang w:eastAsia="hr-HR"/>
        </w:rPr>
        <w:t xml:space="preserve">o </w:t>
      </w:r>
      <w:bookmarkStart w:id="1" w:name="__DdeLink__321_1555107927"/>
      <w:bookmarkEnd w:id="1"/>
      <w:r>
        <w:rPr>
          <w:rFonts w:eastAsia="Times New Roman" w:cs="Times New Roman"/>
          <w:sz w:val="24"/>
          <w:szCs w:val="24"/>
          <w:lang w:eastAsia="hr-HR"/>
        </w:rPr>
        <w:t>mjerama pomoći gospodarstvenicima radi ekonomskih posljedica izazvanih epidemijom virusa COVID – 19</w:t>
      </w:r>
    </w:p>
    <w:p w:rsidR="00AB2B6A" w:rsidRDefault="00AB2B6A" w:rsidP="00AB2B6A">
      <w:pPr>
        <w:spacing w:after="0" w:line="240" w:lineRule="auto"/>
        <w:rPr>
          <w:rFonts w:ascii="Calibri" w:eastAsia="Times New Roman" w:hAnsi="Calibri" w:cs="Times New Roman"/>
          <w:sz w:val="24"/>
          <w:szCs w:val="24"/>
          <w:lang w:eastAsia="hr-HR"/>
        </w:rPr>
      </w:pPr>
    </w:p>
    <w:p w:rsidR="00AB2B6A" w:rsidRDefault="00AB2B6A" w:rsidP="00AB2B6A">
      <w:pPr>
        <w:spacing w:after="0" w:line="240" w:lineRule="auto"/>
        <w:jc w:val="both"/>
        <w:rPr>
          <w:rFonts w:ascii="Calibri" w:eastAsia="Times New Roman" w:hAnsi="Calibri" w:cs="Times New Roman"/>
          <w:sz w:val="24"/>
          <w:szCs w:val="24"/>
          <w:lang w:eastAsia="hr-HR"/>
        </w:rPr>
      </w:pPr>
      <w:r>
        <w:rPr>
          <w:rFonts w:eastAsia="Times New Roman" w:cs="Times New Roman"/>
          <w:sz w:val="24"/>
          <w:szCs w:val="24"/>
          <w:lang w:eastAsia="hr-HR"/>
        </w:rPr>
        <w:t xml:space="preserve">Odlukom Stožera civilne zaštite Republike Hrvatske propisane su </w:t>
      </w:r>
      <w:r>
        <w:rPr>
          <w:sz w:val="24"/>
          <w:szCs w:val="24"/>
        </w:rPr>
        <w:t xml:space="preserve">protuepidemijske mjere radi sprječavanja širenja epidemije, a koje se primjenjuju od 19. ožujka 2020. godine. Propisanim mjerama, između ostalog, propisana je obustava rada za gospodarstvenike čije se poslovne djelatnosti ne smatraju nužnima dok je za gospodarstvenike čije se poslovne djelatnosti smatraju nužnima u svakodnevnoj organizaciji njihovo obavljanje ograničeno. Obzirom da je primjena opisanih protuepidemijskih mjera imala izravne negativne posljedice na ekonomiju predlaže se usvajanje mjera pomoći za gospodarstvenike </w:t>
      </w:r>
      <w:r>
        <w:rPr>
          <w:rFonts w:eastAsia="Times New Roman" w:cs="Times New Roman"/>
          <w:sz w:val="24"/>
          <w:szCs w:val="24"/>
          <w:lang w:eastAsia="hr-HR"/>
        </w:rPr>
        <w:t xml:space="preserve"> sa sjedištem i prebivalištem na području Općine Viškovo odnosno gospodars</w:t>
      </w:r>
      <w:r w:rsidR="0057517B">
        <w:rPr>
          <w:rFonts w:eastAsia="Times New Roman" w:cs="Times New Roman"/>
          <w:sz w:val="24"/>
          <w:szCs w:val="24"/>
          <w:lang w:eastAsia="hr-HR"/>
        </w:rPr>
        <w:t>t</w:t>
      </w:r>
      <w:bookmarkStart w:id="2" w:name="_GoBack"/>
      <w:bookmarkEnd w:id="2"/>
      <w:r>
        <w:rPr>
          <w:rFonts w:eastAsia="Times New Roman" w:cs="Times New Roman"/>
          <w:sz w:val="24"/>
          <w:szCs w:val="24"/>
          <w:lang w:eastAsia="hr-HR"/>
        </w:rPr>
        <w:t>venike koji svoju poslovnu djelatnost obavljaju na području Općine Viškovo.</w:t>
      </w:r>
    </w:p>
    <w:p w:rsidR="00AB2B6A" w:rsidRDefault="00AB2B6A" w:rsidP="00AB2B6A">
      <w:pPr>
        <w:spacing w:after="0" w:line="240" w:lineRule="auto"/>
        <w:jc w:val="both"/>
        <w:rPr>
          <w:rFonts w:ascii="Calibri" w:eastAsia="Times New Roman" w:hAnsi="Calibri" w:cs="Times New Roman"/>
          <w:sz w:val="24"/>
          <w:szCs w:val="24"/>
          <w:lang w:eastAsia="hr-HR"/>
        </w:rPr>
      </w:pPr>
    </w:p>
    <w:p w:rsidR="00AB2B6A" w:rsidRDefault="00AB2B6A" w:rsidP="00AB2B6A">
      <w:pPr>
        <w:spacing w:after="0" w:line="240" w:lineRule="auto"/>
        <w:jc w:val="both"/>
        <w:rPr>
          <w:rFonts w:ascii="Calibri" w:eastAsia="Times New Roman" w:hAnsi="Calibri" w:cs="Times New Roman"/>
          <w:sz w:val="24"/>
          <w:szCs w:val="24"/>
          <w:lang w:eastAsia="hr-HR"/>
        </w:rPr>
      </w:pPr>
      <w:r>
        <w:rPr>
          <w:rFonts w:eastAsia="Times New Roman" w:cs="Times New Roman"/>
          <w:sz w:val="24"/>
          <w:szCs w:val="24"/>
          <w:lang w:eastAsia="hr-HR"/>
        </w:rPr>
        <w:t>Pravni okvir za usvajanje ove Odluke o mjerama pomoći gospodarstvenicima radi ekonomskih posljedica izazvanih epidemijom virusa COVID – 19 sadržan je u članku 35. Zakona o lokalnoj i područnoj (regionalnoj) samoupravi ("Narodne novine" broj 33/01, 60/01, 129/05, 109/07, 125/08, 36/09, 36/09, 150/11, 144/12, 19/13, 137/15, 123/17, 98/19), Odluci Stožera civilne zaštite Republike Hrvatske od dana 19. ožujka 2020. godine, KLASA 810-06/20-01/7, URBROJ 511-01-300-20-1, članku 95. stavka 2. Zakona o komunalnom gospodarstvu („Narodne novine“ broj 68/18, 110/18, 32/20), Odluci Ministarstva graditeljstva i prostornog uređenja, KLASA 804-08/20-01/1, URBROJ 531-01-20-1 od 20. ožujka 2020. godine i članku 34. Statuta Općine Viškovo („Službene novine Općine Viškovo“ broj 3/18, 2/20).</w:t>
      </w:r>
    </w:p>
    <w:p w:rsidR="00AB2B6A" w:rsidRDefault="00AB2B6A" w:rsidP="00AB2B6A">
      <w:pPr>
        <w:spacing w:after="0" w:line="240" w:lineRule="auto"/>
        <w:jc w:val="both"/>
        <w:rPr>
          <w:rFonts w:ascii="Calibri" w:eastAsia="Times New Roman" w:hAnsi="Calibri" w:cs="Times New Roman"/>
          <w:sz w:val="24"/>
          <w:szCs w:val="24"/>
          <w:lang w:eastAsia="hr-HR"/>
        </w:rPr>
      </w:pPr>
    </w:p>
    <w:p w:rsidR="00AB2B6A" w:rsidRDefault="00AB2B6A" w:rsidP="00AB2B6A">
      <w:pPr>
        <w:spacing w:after="0" w:line="240" w:lineRule="auto"/>
        <w:jc w:val="both"/>
      </w:pPr>
      <w:r>
        <w:rPr>
          <w:rFonts w:eastAsia="Times New Roman" w:cs="Times New Roman"/>
          <w:sz w:val="24"/>
          <w:szCs w:val="24"/>
          <w:lang w:eastAsia="hr-HR"/>
        </w:rPr>
        <w:t>Sukladno zakonskim mogućnostima u trenutku predlaganja mjera pomoći ista je osigurana  za gospodarstvenike koji temeljem ugovora o zakupu svoju poslovnu djelatnost obavljaju u prostorima odnosno na javnim površinama u vlasništvu Općine Viškovo i za gospodarstvenike koji su obveznici plaćanja komunalne naknade za poslovni prostor i građevinsko zemljište koje služi obavljanju poslovne djelatnosti.</w:t>
      </w:r>
    </w:p>
    <w:p w:rsidR="00AB2B6A" w:rsidRDefault="00AB2B6A" w:rsidP="00AB2B6A">
      <w:pPr>
        <w:spacing w:after="0" w:line="240" w:lineRule="auto"/>
        <w:jc w:val="both"/>
        <w:rPr>
          <w:rFonts w:ascii="Calibri" w:eastAsia="Times New Roman" w:hAnsi="Calibri" w:cs="Times New Roman"/>
          <w:sz w:val="24"/>
          <w:szCs w:val="24"/>
          <w:lang w:eastAsia="hr-HR"/>
        </w:rPr>
      </w:pPr>
    </w:p>
    <w:p w:rsidR="00AB2B6A" w:rsidRDefault="00AB2B6A" w:rsidP="00AB2B6A">
      <w:pPr>
        <w:spacing w:after="0" w:line="240" w:lineRule="auto"/>
        <w:jc w:val="both"/>
      </w:pPr>
      <w:r>
        <w:rPr>
          <w:rFonts w:eastAsia="Times New Roman" w:cs="Times New Roman"/>
          <w:sz w:val="24"/>
          <w:szCs w:val="24"/>
          <w:lang w:eastAsia="hr-HR"/>
        </w:rPr>
        <w:t xml:space="preserve">Predloženim mjerama nastojalo se u prvom redu pomoći onim gospodarstvenicima koji nisu ostvarili prihode/primitke od propisivanja mjera i u potpunosti ih osloboditi obveze plaćanja </w:t>
      </w:r>
      <w:r>
        <w:rPr>
          <w:rFonts w:eastAsia="Times New Roman" w:cs="Times New Roman"/>
          <w:sz w:val="24"/>
          <w:szCs w:val="24"/>
          <w:lang w:eastAsia="hr-HR"/>
        </w:rPr>
        <w:lastRenderedPageBreak/>
        <w:t>zakupnine, osim obveze plaćanja poreza na dodanu vrijednost koja nije u nadležnosti Općine Viškovo, te komunalne naknade ali se uzela u obzir i ona skupina gospodarstvenika čiji su prihodi/primitci značajno umanjeni za koje su predložene mjere pomoći razmjerno padu njihovih prihoda/primitaka.</w:t>
      </w:r>
    </w:p>
    <w:p w:rsidR="00AB2B6A" w:rsidRDefault="00AB2B6A" w:rsidP="00AB2B6A">
      <w:pPr>
        <w:spacing w:after="0" w:line="240" w:lineRule="auto"/>
        <w:jc w:val="both"/>
        <w:rPr>
          <w:rFonts w:eastAsia="Times New Roman" w:cs="Times New Roman"/>
          <w:sz w:val="24"/>
          <w:szCs w:val="24"/>
          <w:lang w:eastAsia="hr-HR"/>
        </w:rPr>
      </w:pPr>
    </w:p>
    <w:p w:rsidR="00AB2B6A" w:rsidRDefault="00AB2B6A" w:rsidP="00AB2B6A">
      <w:pPr>
        <w:spacing w:after="0" w:line="240" w:lineRule="auto"/>
        <w:jc w:val="both"/>
      </w:pPr>
      <w:r>
        <w:rPr>
          <w:rFonts w:eastAsia="Times New Roman" w:cs="Times New Roman"/>
          <w:sz w:val="24"/>
          <w:szCs w:val="24"/>
          <w:lang w:eastAsia="hr-HR"/>
        </w:rPr>
        <w:t>U nastojanju daljnjeg rasterećenja predloženo je i da se za vrijeme trajanja posebnih mjera na dospjela potraživanja na ime komunalne naknade za poslovni prostor, komunalne naknade za građevinsko zemljište koje služi obavljanju poslovne djelatnosti, zakupnine za zakup prostora u vlasništvu Općine Viškovo i zakupnine za zakup javne površine u vlasništvu Općine Viškovo gospodarstvenika prema Općini Viškovo  ne obračunavaju zakonske zatezne kamate i ne pokreću postupci prisilne naplate. Izuzetak je predviđen samo u slučajevima u kojima bi ne pokretanje prisilne naplate za vrijeme trajanja posebnih mjera imalo za posljedicu zastaru potraživanja.</w:t>
      </w:r>
    </w:p>
    <w:p w:rsidR="00AB2B6A" w:rsidRDefault="00AB2B6A" w:rsidP="00AB2B6A">
      <w:pPr>
        <w:spacing w:after="0" w:line="240" w:lineRule="auto"/>
        <w:jc w:val="both"/>
      </w:pPr>
      <w:r>
        <w:rPr>
          <w:rFonts w:eastAsia="Times New Roman" w:cs="Times New Roman"/>
          <w:sz w:val="24"/>
          <w:szCs w:val="24"/>
          <w:lang w:eastAsia="hr-HR"/>
        </w:rPr>
        <w:t xml:space="preserve">Financijske posljedice predloženih mjera pomoći na proračun primarno ovise o vremenu trajanja posebnih mjera te o broju gospodarstvenika koji će zatražiti pravo na razmjerno umanjenje svojih obaveza. U trenutku predlaganja mjera pomoći analizom broja gospodarstvenika koji ostvaruju pravo na mjere oslobođenja i projekcijom broja gospodarstvenika za koje se pretpostavlja da je u njihovom poslovanju došlo do smanjenja prihoda/primitaka očekuje se da će njihov financijski učinak biti prihvatljiv za proračun. </w:t>
      </w:r>
    </w:p>
    <w:p w:rsidR="00AB2B6A" w:rsidRDefault="00AB2B6A" w:rsidP="00AB2B6A">
      <w:pPr>
        <w:spacing w:after="0" w:line="240" w:lineRule="auto"/>
        <w:jc w:val="both"/>
        <w:rPr>
          <w:rFonts w:eastAsia="Times New Roman" w:cs="Times New Roman"/>
          <w:sz w:val="24"/>
          <w:szCs w:val="24"/>
          <w:lang w:eastAsia="hr-HR"/>
        </w:rPr>
      </w:pPr>
    </w:p>
    <w:p w:rsidR="00AB2B6A" w:rsidRDefault="00AB2B6A" w:rsidP="00AB2B6A">
      <w:pPr>
        <w:spacing w:after="0" w:line="240" w:lineRule="auto"/>
        <w:jc w:val="both"/>
      </w:pPr>
      <w:r>
        <w:rPr>
          <w:rFonts w:eastAsia="Times New Roman" w:cs="Times New Roman"/>
          <w:sz w:val="24"/>
          <w:szCs w:val="24"/>
          <w:lang w:eastAsia="hr-HR"/>
        </w:rPr>
        <w:t>Sukladno svemu navedenom predlaže se Općinskom vijeću usvajanje ovog prijedloga Odluke o mjerama pomoći gospodarstvenicima radi ekonomskih posljedica izazvanih epidemijom virusa COVID – 19.</w:t>
      </w:r>
    </w:p>
    <w:p w:rsidR="00AB2B6A" w:rsidRDefault="00AB2B6A" w:rsidP="00AB2B6A">
      <w:pPr>
        <w:spacing w:after="0" w:line="240" w:lineRule="auto"/>
        <w:jc w:val="both"/>
        <w:rPr>
          <w:rFonts w:eastAsia="Times New Roman" w:cs="Times New Roman"/>
          <w:sz w:val="24"/>
          <w:szCs w:val="24"/>
          <w:lang w:eastAsia="hr-HR"/>
        </w:rPr>
      </w:pPr>
    </w:p>
    <w:p w:rsidR="00AB2B6A" w:rsidRDefault="00AB2B6A" w:rsidP="00AB2B6A">
      <w:pPr>
        <w:spacing w:after="0" w:line="240" w:lineRule="auto"/>
        <w:jc w:val="both"/>
        <w:rPr>
          <w:rFonts w:eastAsia="Times New Roman" w:cs="Times New Roman"/>
          <w:sz w:val="24"/>
          <w:szCs w:val="24"/>
          <w:lang w:eastAsia="hr-HR"/>
        </w:rPr>
      </w:pPr>
    </w:p>
    <w:p w:rsidR="00AB2B6A" w:rsidRDefault="00AB2B6A" w:rsidP="00AB2B6A">
      <w:pPr>
        <w:spacing w:after="0" w:line="240" w:lineRule="auto"/>
        <w:jc w:val="both"/>
      </w:pP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t xml:space="preserve">  Općinska načelnica </w:t>
      </w:r>
    </w:p>
    <w:p w:rsidR="00AB2B6A" w:rsidRDefault="00AB2B6A" w:rsidP="00AB2B6A">
      <w:pPr>
        <w:spacing w:after="0" w:line="240" w:lineRule="auto"/>
        <w:jc w:val="both"/>
      </w:pP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r>
      <w:r>
        <w:rPr>
          <w:rFonts w:eastAsia="Times New Roman" w:cs="Times New Roman"/>
          <w:sz w:val="24"/>
          <w:szCs w:val="24"/>
          <w:lang w:eastAsia="hr-HR"/>
        </w:rPr>
        <w:tab/>
        <w:t xml:space="preserve">Sanja Udović. </w:t>
      </w:r>
      <w:proofErr w:type="spellStart"/>
      <w:r>
        <w:rPr>
          <w:rFonts w:eastAsia="Times New Roman" w:cs="Times New Roman"/>
          <w:sz w:val="24"/>
          <w:szCs w:val="24"/>
          <w:lang w:eastAsia="hr-HR"/>
        </w:rPr>
        <w:t>dipl.oec</w:t>
      </w:r>
      <w:proofErr w:type="spellEnd"/>
      <w:r>
        <w:rPr>
          <w:rFonts w:eastAsia="Times New Roman" w:cs="Times New Roman"/>
          <w:sz w:val="24"/>
          <w:szCs w:val="24"/>
          <w:lang w:eastAsia="hr-HR"/>
        </w:rPr>
        <w:t>.</w:t>
      </w:r>
    </w:p>
    <w:p w:rsidR="002B6F8E" w:rsidRDefault="002B6F8E" w:rsidP="002B6F8E">
      <w:pPr>
        <w:jc w:val="center"/>
      </w:pPr>
    </w:p>
    <w:sectPr w:rsidR="002B6F8E" w:rsidSect="00106012">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12"/>
    <w:rsid w:val="00106012"/>
    <w:rsid w:val="002B6F8E"/>
    <w:rsid w:val="002C3387"/>
    <w:rsid w:val="0057517B"/>
    <w:rsid w:val="007879A7"/>
    <w:rsid w:val="00AB2B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DF125-D7F9-45B2-89F9-4EF5857F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10"/>
    <w:pPr>
      <w:spacing w:after="200" w:line="276" w:lineRule="auto"/>
    </w:pPr>
    <w:rPr>
      <w:color w:val="00000A"/>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A81535"/>
    <w:rPr>
      <w:rFonts w:ascii="Segoe UI" w:hAnsi="Segoe UI" w:cs="Segoe UI"/>
      <w:sz w:val="18"/>
      <w:szCs w:val="18"/>
    </w:rPr>
  </w:style>
  <w:style w:type="paragraph" w:customStyle="1" w:styleId="Stilnaslova">
    <w:name w:val="Stil naslova"/>
    <w:basedOn w:val="Normal"/>
    <w:next w:val="Tijeloteksta"/>
    <w:qFormat/>
    <w:rsid w:val="00106012"/>
    <w:pPr>
      <w:keepNext/>
      <w:spacing w:before="240" w:after="120"/>
    </w:pPr>
    <w:rPr>
      <w:rFonts w:ascii="Liberation Sans" w:eastAsia="Microsoft YaHei" w:hAnsi="Liberation Sans" w:cs="Arial"/>
      <w:sz w:val="28"/>
      <w:szCs w:val="28"/>
    </w:rPr>
  </w:style>
  <w:style w:type="paragraph" w:styleId="Tijeloteksta">
    <w:name w:val="Body Text"/>
    <w:basedOn w:val="Normal"/>
    <w:rsid w:val="00106012"/>
    <w:pPr>
      <w:spacing w:after="140" w:line="288" w:lineRule="auto"/>
    </w:pPr>
  </w:style>
  <w:style w:type="paragraph" w:styleId="Popis">
    <w:name w:val="List"/>
    <w:basedOn w:val="Tijeloteksta"/>
    <w:rsid w:val="00106012"/>
    <w:rPr>
      <w:rFonts w:cs="Arial"/>
    </w:rPr>
  </w:style>
  <w:style w:type="paragraph" w:customStyle="1" w:styleId="Opisslike1">
    <w:name w:val="Opis slike1"/>
    <w:basedOn w:val="Normal"/>
    <w:qFormat/>
    <w:rsid w:val="00106012"/>
    <w:pPr>
      <w:suppressLineNumbers/>
      <w:spacing w:before="120" w:after="120"/>
    </w:pPr>
    <w:rPr>
      <w:rFonts w:cs="Arial"/>
      <w:i/>
      <w:iCs/>
      <w:sz w:val="24"/>
      <w:szCs w:val="24"/>
    </w:rPr>
  </w:style>
  <w:style w:type="paragraph" w:customStyle="1" w:styleId="Indeks">
    <w:name w:val="Indeks"/>
    <w:basedOn w:val="Normal"/>
    <w:qFormat/>
    <w:rsid w:val="00106012"/>
    <w:pPr>
      <w:suppressLineNumbers/>
    </w:pPr>
    <w:rPr>
      <w:rFonts w:cs="Arial"/>
    </w:rPr>
  </w:style>
  <w:style w:type="paragraph" w:styleId="Tekstbalonia">
    <w:name w:val="Balloon Text"/>
    <w:basedOn w:val="Normal"/>
    <w:link w:val="TekstbaloniaChar"/>
    <w:uiPriority w:val="99"/>
    <w:semiHidden/>
    <w:unhideWhenUsed/>
    <w:qFormat/>
    <w:rsid w:val="00A81535"/>
    <w:pPr>
      <w:spacing w:after="0" w:line="240" w:lineRule="auto"/>
    </w:pPr>
    <w:rPr>
      <w:rFonts w:ascii="Segoe UI" w:hAnsi="Segoe UI" w:cs="Segoe UI"/>
      <w:sz w:val="18"/>
      <w:szCs w:val="18"/>
    </w:rPr>
  </w:style>
  <w:style w:type="table" w:styleId="Reetkatablice">
    <w:name w:val="Table Grid"/>
    <w:basedOn w:val="Obinatablica"/>
    <w:uiPriority w:val="39"/>
    <w:rsid w:val="006E5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1641</Words>
  <Characters>9358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Sonier Jeremić</dc:creator>
  <cp:lastModifiedBy>Gracijano Gregorović</cp:lastModifiedBy>
  <cp:revision>3</cp:revision>
  <cp:lastPrinted>2020-04-09T12:32:00Z</cp:lastPrinted>
  <dcterms:created xsi:type="dcterms:W3CDTF">2020-04-14T15:45:00Z</dcterms:created>
  <dcterms:modified xsi:type="dcterms:W3CDTF">2020-04-14T16:05:00Z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